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 Lambert, Spiller</w:t>
      </w:r>
      <w:r xml:space="preserve">
        <w:tab wTab="150" tlc="none" cTlc="0"/>
      </w:r>
      <w:r>
        <w:t xml:space="preserve">H.B.</w:t>
      </w:r>
      <w:r xml:space="preserve">
        <w:t> </w:t>
      </w:r>
      <w:r>
        <w:t xml:space="preserve">No.</w:t>
      </w:r>
      <w:r xml:space="preserve">
        <w:t> </w:t>
      </w:r>
      <w:r>
        <w:t xml:space="preserve">1597</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Sparks)</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2,</w:t>
      </w:r>
      <w:r xml:space="preserve">
        <w:t> </w:t>
      </w:r>
      <w:r>
        <w:t xml:space="preserve">2023, read first time and referred to Committee on Business &amp; Commerce; May</w:t>
      </w:r>
      <w:r xml:space="preserve">
        <w:t> </w:t>
      </w:r>
      <w:r>
        <w:t xml:space="preserve">19,</w:t>
      </w:r>
      <w:r xml:space="preserve">
        <w:t> </w:t>
      </w:r>
      <w:r>
        <w:t xml:space="preserve">2023, reported favorably by the following vote:</w:t>
      </w:r>
      <w:r>
        <w:t xml:space="preserve"> </w:t>
      </w:r>
      <w:r>
        <w:t xml:space="preserve"> </w:t>
      </w:r>
      <w:r>
        <w:t xml:space="preserve">Yeas 10,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tariff filing requirements for certain telecommunications providers.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52.251, Utilities Code, is amended by adding Subsections (a-1), (c), and (d)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affiliate or trade association may file the tariff required under Subsection (a) on behalf of the public utility.</w:t>
      </w:r>
    </w:p>
    <w:p w:rsidR="003F3435" w:rsidRDefault="0032493E">
      <w:pPr>
        <w:spacing w:line="480" w:lineRule="auto"/>
        <w:ind w:firstLine="720"/>
        <w:jc w:val="both"/>
      </w:pPr>
      <w:r>
        <w:t xml:space="preserve">(b)</w:t>
      </w:r>
      <w:r xml:space="preserve">
        <w:t> </w:t>
      </w:r>
      <w:r xml:space="preserve">
        <w:t> </w:t>
      </w:r>
      <w:r>
        <w:t xml:space="preserve">The public utility</w:t>
      </w:r>
      <w:r>
        <w:rPr>
          <w:u w:val="single"/>
        </w:rPr>
        <w:t xml:space="preserve">, affiliate, or trade association</w:t>
      </w:r>
      <w:r>
        <w:t xml:space="preserve"> shall file as a part of the tariff required under Subsection (a) each rule that relates to or affects:</w:t>
      </w:r>
    </w:p>
    <w:p w:rsidR="003F3435" w:rsidRDefault="0032493E">
      <w:pPr>
        <w:spacing w:line="480" w:lineRule="auto"/>
        <w:ind w:firstLine="1440"/>
        <w:jc w:val="both"/>
      </w:pPr>
      <w:r>
        <w:t xml:space="preserve">(1)</w:t>
      </w:r>
      <w:r xml:space="preserve">
        <w:t> </w:t>
      </w:r>
      <w:r xml:space="preserve">
        <w:t> </w:t>
      </w:r>
      <w:r>
        <w:t xml:space="preserve">a rate of the utility; or</w:t>
      </w:r>
    </w:p>
    <w:p w:rsidR="003F3435" w:rsidRDefault="0032493E">
      <w:pPr>
        <w:spacing w:line="480" w:lineRule="auto"/>
        <w:ind w:firstLine="1440"/>
        <w:jc w:val="both"/>
      </w:pPr>
      <w:r>
        <w:t xml:space="preserve">(2)</w:t>
      </w:r>
      <w:r xml:space="preserve">
        <w:t> </w:t>
      </w:r>
      <w:r xml:space="preserve">
        <w:t> </w:t>
      </w:r>
      <w:r>
        <w:t xml:space="preserve">a utility service, product, or commodity furnished by the utility.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tariff filing is considered approved if the commission does not approve or deny the tariff filing or request supplemental information from the public utility, affiliate, or trade association that filed the tariff before the 60th day after receiving the tariff filing.</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commission requests supplemental information from the public utility, affiliate, or trade association under Subsection (c), the utility, affiliate, or association must provide the commission with the supplemental information not later than the 15th day after receiving the request from the commission. If the commission does not approve or deny the tariff filing before the 30th day after the commission receives the supplemental information, the tariff filing is considered approved.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tariff filed under Section 52.251, Utilities Code, as amended by this Act, on or after the effective date of this Act. A tariff filed before the effective date of this Act is governed by the law in effect on the date the tariff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