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88R4063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1599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AUTOMATIC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rely on findings made by an express lane agency, including a division of an express lane agency, in determining a child's eligibility for coverage under the child health plan, including a child's eligibility for reenrollment in the plan.  The commission shall use express lane eligibility by evaluating data received from an applicant under other public assistance programs to determine the applicant's eligibility under the child health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automatically enroll in the child health plan program a child who is determined to be eligible for the program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The executive commissioner by rule may develop procedures to determine whether there is a need for a recertification review of a child described by this subsection to be conducted through a personal interview with a commission representative.  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described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AUTOMATIC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rely on findings made by an express lane agency, including a division of an express lane agency, in determining a person's eligibility for medical assistance, including the recertification of a person's eligibility for medical assistance benefits.  The commission shall use express lane eligibility by evaluating data received from an applicant under other public assistance programs to determine the applicant's eligibility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automatically enroll in the medical assistance program a person who is determined to be eligible for the program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