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88R7587 KSD-F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1602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performance criteria for the award of adult education and literacy funds.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315.002, Labor Code, is amended by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extent permitted under federal law, the commission by rule shall establish: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annual performance requirements that each entity that receives money appropriated under this chapter must satisfy to qualify for a continuing award of funds under this chapter, which must include the achievement of enrollment targets and performance benchmarks that are comparable to those provided by Section 315.007(c);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process for giving priority in awarding funds under this chapter to entities that consistently satisfy the annual performance requirements established under Subdivision (1).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