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1602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performance criteria for the award of adult education and literacy funds.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315.002, Labor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permitted under federal law, the commission by rule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performance requirements that each entity that receives money appropriated under this chapter must satisfy to qualify for a continuing award of funds under this chapter, which must include the achievement of enrollment targets and performance benchmarks that are comparable to those provided by Section 315.007(c);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for giving priority in awarding funds under this chapter to entities that consistently satisfy the annual performance requirements established under Subdivision 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1602 was passed by the House on April 14, 2023, by the following vote:</w:t>
      </w:r>
      <w:r xml:space="preserve">
        <w:t> </w:t>
      </w:r>
      <w:r xml:space="preserve">
        <w:t> </w:t>
      </w:r>
      <w:r>
        <w:t xml:space="preserve">Yeas 117, Nays 26,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1602 was passed by the Senate on May 12, 2023, by the following vote:</w:t>
      </w:r>
      <w:r xml:space="preserve">
        <w:t> </w:t>
      </w:r>
      <w:r xml:space="preserve">
        <w:t> </w:t>
      </w:r>
      <w:r>
        <w:t xml:space="preserve">Yeas 29,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