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88R7587 KSD-F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performance criteria for the award of adult education and literacy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315.002, Labor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permitted under federal law, the commission by rule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performance requirements that each entity that receives money appropriated under this chapter must satisfy to qualify for a continuing award of funds under this chapter, which must include the achievement of enrollment targets and performance benchmarks that are comparable to those provided by Section 315.007(c);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giving priority in awarding funds under this chapter to entities that consistently satisfy the annual performance requirements established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