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performance criteria for the award of adult education and literacy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315.002, Labor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permitted under federal law, the commission by rule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performance requirements that each entity that receives money appropriated under this chapter must satisfy to qualify for a continuing award of funds under this chapter, which must include the achievement of enrollment targets and performance benchmarks that are comparable to those provided by Section 315.007(c);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giving priority in awarding funds under this chapter to entities that consistently satisfy the annual performance requirements established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