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procedures governing the prosecution of misdemeanor offenses in the jurisdiction of the justice and municipal courts.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45.031,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Art.</w:t>
      </w:r>
      <w:r xml:space="preserve">
        <w:t> </w:t>
      </w:r>
      <w:r>
        <w:t xml:space="preserve">45.031.</w:t>
      </w:r>
      <w:r xml:space="preserve">
        <w:t> </w:t>
      </w:r>
      <w:r xml:space="preserve">
        <w:t> </w:t>
      </w:r>
      <w:r>
        <w:t xml:space="preserve">COUNSEL FOR STATE NOT PRESENT.  </w:t>
      </w:r>
      <w:r>
        <w:rPr>
          <w:u w:val="single"/>
        </w:rPr>
        <w:t xml:space="preserve">(a)</w:t>
      </w:r>
      <w:r>
        <w:t xml:space="preserve">  If the state is not represented by counsel when the case is called for trial, the justice or judge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postpone the trial to a date certain;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appoint </w:t>
      </w:r>
      <w:r>
        <w:rPr>
          <w:u w:val="single"/>
        </w:rPr>
        <w:t xml:space="preserve">any competent attorney as</w:t>
      </w:r>
      <w:r>
        <w:t xml:space="preserve"> an attorney pro tem [</w:t>
      </w:r>
      <w:r>
        <w:rPr>
          <w:strike/>
        </w:rPr>
        <w:t xml:space="preserve">as provided by this code</w:t>
      </w:r>
      <w:r>
        <w:t xml:space="preserve">] to represent the state</w:t>
      </w:r>
      <w:r>
        <w:rPr>
          <w:u w:val="single"/>
        </w:rPr>
        <w:t xml:space="preserve">, notwithstanding Article 2.07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proceed to trial.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appointed under Subsection (a) is qualified to perform the duties of the office of the attorney representing the state and may be paid a reasonable fee for performing those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Article 45.031, Code of Criminal Procedure, as amended by this Act, applies only to a trial that begins on or after the effective date of this Act, regardless of whether the alleged offense was committed before, on,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1603 was passed by the House on April 26, 2023, by the following vote:</w:t>
      </w:r>
      <w:r xml:space="preserve">
        <w:t> </w:t>
      </w:r>
      <w:r xml:space="preserve">
        <w:t> </w:t>
      </w:r>
      <w:r>
        <w:t xml:space="preserve">Yeas 146, Nays 2,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1603 was passed by the Senate on May 23,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