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88R22923 MM-F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Dutton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1614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1614: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Buckley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1614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grant program to provide free public school prekindergarten programs to certain children who are eligible for the subsidized child-care program administered by the Texas Workforce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29, Education Code, is amended by adding Section 29.1537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29.1537.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PREKINDERGARTEN COMMUNITY-BASED CHILD-CARE PARTNERSHIP GRANT PROGRAM.  (a)  The commissioner shall establish and administer a grant program to support school districts and open-enrollment charter schools in increasing partnerships with community-based child-care providers to provide prekindergarten classes under Section 29.153.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or open-enrollment charter school may apply for a grant under the program in partnership with a community-based child-care provider described by Section 29.153(g).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or open-enrollment charter school shall use  money received under the grant program to fund the enrollment of eligible children in prekindergarten classes provided under Section 29.153 through a partnership between the district or school and a community-based child-care provider described by Section 29.153(g). </w:t>
      </w:r>
      <w:r>
        <w:rPr>
          <w:u w:val="single"/>
        </w:rPr>
        <w:t xml:space="preserve"> </w:t>
      </w:r>
      <w:r>
        <w:rPr>
          <w:u w:val="single"/>
        </w:rPr>
        <w:t xml:space="preserve">A child is eligible for enrollment in a prekindergarten class described by this subsection using money received under the grant program if the child is: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least three years of age;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receives subsidized child-care services provided through the child-care services program administered by the Texas Workforce Commission.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 may provide grants under the grant program for the enrollment in each school year of not more than 3,500 children in a prekindergarten class described by Subsection (c).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agency shall annually report to the legislature regarding the number of children described by Subsection (c) enrolled in a prekindergarten class.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29.1537, Education Code, as added by this Act,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1614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