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88R8354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of a person convicted of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Section 30.02, Penal Code (Burglary),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offense is punishable under Subsection (d) of that section;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w:t>
      </w:r>
      <w:r>
        <w:rPr>
          <w:strike/>
        </w:rPr>
        <w:t xml:space="preserve">(13)</w:t>
      </w:r>
      <w:r>
        <w:t xml:space="preserve">]</w:t>
      </w:r>
      <w:r xml:space="preserve">
        <w:t> </w:t>
      </w:r>
      <w:r xml:space="preserve">
        <w:t> </w:t>
      </w:r>
      <w:r>
        <w:t xml:space="preserve">Section 43.04, Penal Code (Aggravated Promotion of Prostitution);</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Section 43.05, Penal Code (Compelling Prostitution);</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Section 43.25, Penal Code (Sexual Performance by a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(15)</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(15)</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