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88R21754 PRL-F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Paul, Morales of Maverick,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1632: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Burrows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1632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standardized training for election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32.111(a),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standards of training in election law and procedure for 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develop materials for a standardized curriculum for that training</w:t>
      </w:r>
      <w:r>
        <w:rPr>
          <w:u w:val="single"/>
        </w:rPr>
        <w:t xml:space="preserve">, including a published handbook, made available on the secretary of state's Internet website, free of charge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distribute the materials as necessary to the governing bodies of political subdivisions that hold elections and to each county executive committee of a political party that holds a primary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32, Election Code, is amended by adding Section 32.1111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32.1111.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TRAINING.  (a)  The secretary of state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make available a standardized training program developed under Section 32.111: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entirely via the Internet;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any time, without a requirement for prior registration;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passage of an examination at the end of the training program;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an individual who completes the training with a certificate of completion.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certificate of completion provided under Subsection (a)(3) shall expire no later than one year following the date it was awarded.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Completion of the training program under this section is not a prerequisite to eligibility for service in an election for: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county election officials;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presiding or alternate election judges;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clerks;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early voting ballot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members of the signature verification committee;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central counting station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87, Election Code, is amended by adding Section 87.0031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an early voting ballot board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87, Election Code, is amended by adding Section 87.0272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87.0272.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signature verification committee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127, Election Code, is amended by adding Section 127.010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127.010.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TRAINING.  The secretary of state shall provide a standardized training program and materials for members of a counting station in the same manner it provides such a program under Subchapter F, Chapter 32.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