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88R20076 PRL-F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Burrows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1635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operation of political parties.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162.001, Election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party official may not deny a person eligible to affiliate with a political party under Section 162.002 the ability to affiliate with the political party.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163.007,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163.007.</w:t>
      </w:r>
      <w:r xml:space="preserve">
        <w:t> </w:t>
      </w:r>
      <w:r xml:space="preserve">
        <w:t> </w:t>
      </w:r>
      <w:r>
        <w:t xml:space="preserve">RULES ENFORCEABLE BY MANDAMUS. </w:t>
      </w:r>
      <w:r>
        <w:t xml:space="preserve"> </w:t>
      </w:r>
      <w:r>
        <w:t xml:space="preserve">A rule on electoral affairs is enforceable by writ of mandamus in the same manner as if the rule were a statute. </w:t>
      </w:r>
      <w:r>
        <w:t xml:space="preserve"> </w:t>
      </w:r>
      <w:r>
        <w:rPr>
          <w:u w:val="single"/>
        </w:rPr>
        <w:t xml:space="preserve">A rule on electoral affairs that conflicts with state or federal law is void and unenforceable.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172.0222(b) and (g), Election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On the filing of an application for a place on the general primary election ballot, the authority with whom the application is filed shall review the application to determine whether it complies with </w:t>
      </w:r>
      <w:r>
        <w:rPr>
          <w:u w:val="single"/>
        </w:rPr>
        <w:t xml:space="preserve">state or federal law or with</w:t>
      </w:r>
      <w:r>
        <w:t xml:space="preserve"> </w:t>
      </w:r>
      <w:r>
        <w:t xml:space="preserve">the requirements as to form, content, and procedure that it must satisfy for the candidate's name to be placed on the general primary election ballot.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If an application does not comply with the [</w:t>
      </w:r>
      <w:r>
        <w:rPr>
          <w:strike/>
        </w:rPr>
        <w:t xml:space="preserve">applicable</w:t>
      </w:r>
      <w:r>
        <w:t xml:space="preserve">] requirements </w:t>
      </w:r>
      <w:r>
        <w:rPr>
          <w:u w:val="single"/>
        </w:rPr>
        <w:t xml:space="preserve">described by Subsection (b)</w:t>
      </w:r>
      <w:r>
        <w:t xml:space="preserve">, the authority shall reject the application and immediately deliver to the candidate written notice of the reason for the rejection.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172.082(b),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county chair or the county chair's designee shall conduct the drawing [</w:t>
      </w:r>
      <w:r>
        <w:rPr>
          <w:strike/>
        </w:rPr>
        <w:t xml:space="preserve">unless the county executive committee provides by resolution that the drawing be conducted by the primary committee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172.111(b),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county </w:t>
      </w:r>
      <w:r>
        <w:rPr>
          <w:u w:val="single"/>
        </w:rPr>
        <w:t xml:space="preserve">chair</w:t>
      </w:r>
      <w:r>
        <w:t xml:space="preserve"> [</w:t>
      </w:r>
      <w:r>
        <w:rPr>
          <w:strike/>
        </w:rPr>
        <w:t xml:space="preserve">executive committee</w:t>
      </w:r>
      <w:r>
        <w:t xml:space="preserve">] shall supervise the overall conduct of a primary election in each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173.033, Election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provision of this chapter: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primary fund may not be used to pay expenses incurred by a political party in connection with a primary election conducted by a political party that has authorized a party official to reject an application for a place on the primary election ballot or declare a candidate ineligible for any reason not specified under the laws of this state or federal law;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funds disbursed to the primary fund of a political party specified in Subdivision (1) shall be remitted to the secretary of state immediately on request and deposited in the state treasury for the financing of primary elections.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Section 191.008(b),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rules may not be inconsistent with </w:t>
      </w:r>
      <w:r>
        <w:rPr>
          <w:u w:val="single"/>
        </w:rPr>
        <w:t xml:space="preserve">national party rules,</w:t>
      </w:r>
      <w:r>
        <w:t xml:space="preserve"> this subchapter</w:t>
      </w:r>
      <w:r>
        <w:rPr>
          <w:u w:val="single"/>
        </w:rPr>
        <w:t xml:space="preserve">,</w:t>
      </w:r>
      <w:r>
        <w:t xml:space="preserve"> or [</w:t>
      </w:r>
      <w:r>
        <w:rPr>
          <w:strike/>
        </w:rPr>
        <w:t xml:space="preserve">with</w:t>
      </w:r>
      <w:r>
        <w:t xml:space="preserve">] rules adopted by the secretary of state under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Sections 172.081 and 172.083, Election Code,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9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