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88R19132 JRJ-F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1636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1636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baccalaureate degree programs offered by certain public junior colleges.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130.306, Education Code, is amended by amending Subsection (a) and adding Subsection (b)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(b), a</w:t>
      </w:r>
      <w:r>
        <w:t xml:space="preserve"> [</w:t>
      </w:r>
      <w:r>
        <w:rPr>
          <w:strike/>
        </w:rPr>
        <w:t xml:space="preserve">A</w:t>
      </w:r>
      <w:r>
        <w:t xml:space="preserve">] public junior college offering a baccalaureate degree program under this subchapter may not offer more than five baccalaureate degree programs at any time.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any time, South Texas College may not offer more than six baccalaureate degree programs under this subchapter, one of which must be a bachelor of applied science degree in child and family development.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1636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