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88R3949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1637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of irrigation districts for the recreational use of district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75.002, Civil Practice and Remedies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An irrigation district is not liable for injury to an individual or property arising from the recreational use of the district's land unless the injury arises from an act or omission of the district that constitutes recklessness or intentional misconduct.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75.002(f-1),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