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88R1555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by the Texas Department of Transportation on future transportation needs for the year 2045.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  In this Act, "department" means the Texas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STUDY.  (a)  The department, in consultation with the Texas A&amp;M Transportation Institute, shall conduct a study on the state's projected transportation needs and costs and the resulting benefits of meeting those needs and costs for the year 2045.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study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use models from the state's metropolitan planning organizations and rural planning efforts to capture regional and local transportation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incorporate current, high quality vehicle-based data sources to analyze changing travel patterns and behaviors;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develop a forecast for alternative levels of mobility and infrastructure performance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highway maintenance;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urban mobility;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rural connectivity;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develop a range of future state transportation performance and infrastructure condition goals for the period covered by the study;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develop and evaluate potential scenarios to account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innovations in vehicle technologies;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changes in travel behavior;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changes in workplace policies;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strategies for innovative project design and development;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evaluate current funding levels and dedicated funding streams, including anticipated funds transferred to the state highway fund under Section 49-g, Article III, Texas Constitution, or deposited to that fund under Section 7-c, Article VIII, Texas Constitution, to quantify the gap between likely funding and the amount required to meet a range of performance conditions;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identify strategies and funding options to fill any gaps in transportation needs;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overlay information in the 2030 Committee's 2011 report analysis for the period from 2010 to 2035 to compare the funding landscape and performance expectations in 2011 with the current outlook.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COMMITTEE.  The Texas Transportation Commission shall appoint a committee composed of experienced and respected business and community leaders in this state to provide guidance and direction to the department and the Texas A&amp;M Transportation Institute for purposes of conducting the study required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REPORT TO LEGISLATURE.  Not later than December 1, 2024, the Texas Department of Transportation shall submit a report to the legislature that includes the results of the study conducted under this Act and any associated recommendations.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