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88R2016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1639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Texas Transportation Commission to establish variable speed limits.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545.353, Transportation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by rule may establish a variable speed limit program to allow the temporary lowering of a prima facie speed limit to address inclement weather, congestion, road construction, or any other condition that affects the safe and orderly movement of traffic on a roadway for which the commission has the authority to establish a speed limit. </w:t>
      </w:r>
      <w:r>
        <w:rPr>
          <w:u w:val="single"/>
        </w:rPr>
        <w:t xml:space="preserve"> </w:t>
      </w:r>
      <w:r>
        <w:rPr>
          <w:u w:val="single"/>
        </w:rPr>
        <w:t xml:space="preserve">Notice of a speed limit established under the program may be displayed using a stationary or portable changeable message sign, as defined by Section 544.013. </w:t>
      </w:r>
      <w:r>
        <w:rPr>
          <w:u w:val="single"/>
        </w:rPr>
        <w:t xml:space="preserve"> </w:t>
      </w:r>
      <w:r>
        <w:rPr>
          <w:u w:val="single"/>
        </w:rPr>
        <w:t xml:space="preserve">A speed limit that is established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based on an engineering and traffic investigation;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effective for all or a designated portion of the highway and may be effective for any period of the day or night, as the department determines necessary;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effective only when the speed limit is posted and only if a sign notifying motorists of the change in speed limit is posted not less than 500 feet but not more than 1,600 feet before the point at which the speed limit begins.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