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88R21175 MP-F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 of Uvalde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1646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1646: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Brazoria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1646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water withdrawn from the Edwards Aquifer.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1.34(b), Chapter 626, Acts of the 73rd Legislature, Regular Session, 1993,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Water withdrawn from the aquifer must be used within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boundaries of the authority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geographic area of a certificate of convenience and necessity any part of which was located within the boundaries of the authority on June 28, 1996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1646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