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1647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Schwertner)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Health &amp; Human Services;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health benefit plan coverage of clinician-administered drugs.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1369, Insurance Code, is amended by adding Subchapter Q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Q.  CLINICIAN-ADMINISTERED DRUGS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"Administer" means to directly apply a drug to the body of a patient by injection, inhalation, ingestion, or any other means.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"Clinician-administered drug" means an outpatient prescription drug other than a vaccine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cannot reasonably be: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self-administered by the patient to whom the drug is prescribed;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administered by an individual assisting the patient with the self-administration;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typically administered: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a physician or other health care provider authorized under the laws of this state to administer the drug, including when acting under a physician's delegation and supervision;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physician's office.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provider" means an individual who is licensed, certified, or otherwise authorized to provide health care services in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"Physician" means an individual licensed to practice medicine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SUBCHAPTER.  (a)  This subchapter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offered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group hospital service corporation operating under Chapter 842;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operating under Chapter 843;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approved nonprofit health corporation that  holds a certificate of authority under Chapter 844;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multiple employer welfare arrangement that holds a certificate of authority under Chapter 846;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stipulated premium company operating under Chapter 884;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fraternal benefit society operating under Chapter 885;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Lloyd's plan operating under Chapter 941;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exchange operating under Chapter 942.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this subchapter applies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small employer health benefit plan subject to Chapter 1501,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standard health benefit plan issued under Chapter 1507;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group health coverage made available by a school district in accordance with Section 22.004, Education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regional or local health care program operating under Section 75.104,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self-funded health benefit plan sponsored by a professional employer organization under Chapter 91,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EXCEPTIONS TO APPLICABILITY OF SUBCHAPTER.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apply to an issuer or provider of health benefits under or a pharmacy benefit manager administering pharmacy benefits under: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Medicaid program, including the Medicaid managed care program under Chapter 533, Government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 health plan program under Chapter 62,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TRICARE military health system;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workers' compensation insurance policy or other form of providing medical benefits under Title 5,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does not apply to a prescription drug administered in a hospital, hospital facility-based practice setting, or hospital outpatient infusion center.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LIMITATIONS ON COVERAGE OF CLINICIAN-ADMINISTERED DRUGS PROHIBITED.  (a)  Subject to Subsection (b), a health benefit plan issuer may not, for an enrollee with a chronic, complex, rare, or life-threatening medical condition: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clinician-administered drugs to be dispensed only by certain pharmacies or only by pharmacies participating in the health benefit plan issuer's network;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clinician-administered drug is otherwise covered, limit or exclude coverage for such drugs based on the enrollee's choice of pharmacy or because the drug was not dispensed by a pharmacy that participates in the health benefit plan issuer's network;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 physician or health care provider participating in the health benefit plan issuer's network to bill for or be reimbursed for the delivery and administration of clinician-administered drugs under the pharmacy benefit instead of the medical benefit without: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informed written consent of the patient;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written attestation by the patient's physician or health care provider that a delay in the drug's administration will not place the patient at an increased health risk;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an enrollee pay an additional fee, higher copay, higher coinsurance, second copay, second coinsurance, or any other price increase for clinician-administered drugs based on the enrollee's choice of pharmacy or because the drug was not dispensed by a pharmacy that participates in the health benefit plan issuer's network.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applies only if the patient's physician or health care provider determines that: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delay of care would make disease progression probable;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of a pharmacy within the health benefit plan issuer's network would: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make death or patient harm probable;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potentially cause a barrier to the patient's adherence to or compliance with the patient's plan of care;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because of the timeliness of the delivery or dosage requirements, necessitate delivery by a different pharmacy.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may be construed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 a person to administer a drug when otherwise prohibited under the laws of this state or federal law;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modify drug administration requirements under the laws of this state, including any requirements related to delegation and supervision of drug administration.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Q, Chapter 1369, Insurance Code, as added by this Act, applies only to a health benefit plan that is delivered, issued for delivery, or renewed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