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88R1770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Klick, Collier,</w:t>
      </w:r>
      <w:r xml:space="preserve">
        <w:tab wTab="150" tlc="none" cTlc="0"/>
      </w:r>
      <w:r>
        <w:t xml:space="preserve">H.B.</w:t>
      </w:r>
      <w:r xml:space="preserve">
        <w:t> </w:t>
      </w:r>
      <w:r>
        <w:t xml:space="preserve">No.</w:t>
      </w:r>
      <w:r xml:space="preserve">
        <w:t> </w:t>
      </w:r>
      <w:r>
        <w:t xml:space="preserve">1649</w:t>
      </w:r>
    </w:p>
    <w:p w:rsidR="003F3435" w:rsidRDefault="0032493E">
      <w:pPr>
        <w:jc w:val="both"/>
      </w:pPr>
      <w:r xml:space="preserve">
        <w:t> </w:t>
      </w:r>
      <w:r xml:space="preserve">
        <w:t> </w:t>
      </w:r>
      <w:r xml:space="preserve">
        <w:t> </w:t>
      </w:r>
      <w:r xml:space="preserve">
        <w:t> </w:t>
      </w:r>
      <w:r xml:space="preserve">
        <w:t> </w:t>
      </w:r>
      <w:r>
        <w:t xml:space="preserve">Harris of Williamson, Neave Criado,</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hospital expenses;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