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and notice regarding certain risks of impaired fertility.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INFORMATION REGARDING RISK OF IMPAIRED FERTILITY FROM CANCER TREATMENTS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161.681.</w:t>
      </w:r>
      <w:r>
        <w:rPr>
          <w:u w:val="single"/>
        </w:rPr>
        <w:t xml:space="preserve"> </w:t>
      </w:r>
      <w:r>
        <w:rPr>
          <w:u w:val="single"/>
        </w:rPr>
        <w:t xml:space="preserve"> </w:t>
      </w:r>
      <w:r>
        <w:rPr>
          <w:u w:val="single"/>
        </w:rPr>
        <w:t xml:space="preserve">NOTICE FOR CHILDREN RECEIVING CHEMOTHERAPY OR RADIATION.  (a)  A health care facility at which a child will begin receiving chemotherapy or radiation that may directly or indirectly cause impaired fertility must, before the treatment begins, notify the child's parents or legal guardians of the risk of impaired fertility from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and make available a written notice for a health care facility to use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DEFINITION.  In this subchapter, "fertility preservation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the collection and preservation of sperm, unfertilized oocytes, and ovarian tissue;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the storage of such unfertilized genetic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hospital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1366.104.</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for cancer, including surgery, chemotherapy, or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X, Chapter 161, Health and Safety Code, as added by this Act, applies only to a child who will begin chemotherapy or radiation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1366, Insurance Code, as added by this Act, applies only to a health benefit plan that is delivered, issued for delivery, or renewed on or after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1649 was passed by the House on May 6, 2023, by the following vote:</w:t>
      </w:r>
      <w:r xml:space="preserve">
        <w:t> </w:t>
      </w:r>
      <w:r xml:space="preserve">
        <w:t> </w:t>
      </w:r>
      <w:r>
        <w:t xml:space="preserve">Yeas 104, Nays 31, 2 present, not voting; and that the House concurred in Senate amendments to H.B. No. 1649 on May 25, 2023, by the following vote:</w:t>
      </w:r>
      <w:r xml:space="preserve">
        <w:t> </w:t>
      </w:r>
      <w:r xml:space="preserve">
        <w:t> </w:t>
      </w:r>
      <w:r>
        <w:t xml:space="preserve">Yeas 114, Nays 30,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1649 was passed by the Senate, with amendments, on May 23, 2023,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