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88R1770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 Klick, Collier,</w:t>
      </w:r>
      <w:r xml:space="preserve">
        <w:tab wTab="150" tlc="none" cTlc="0"/>
      </w:r>
      <w:r>
        <w:t xml:space="preserve">H.B.</w:t>
      </w:r>
      <w:r xml:space="preserve">
        <w:t> </w:t>
      </w:r>
      <w:r>
        <w:t xml:space="preserve">No.</w:t>
      </w:r>
      <w:r xml:space="preserve">
        <w:t> </w:t>
      </w:r>
      <w:r>
        <w:t xml:space="preserve">1649</w:t>
      </w:r>
    </w:p>
    <w:p w:rsidR="003F3435" w:rsidRDefault="0032493E">
      <w:pPr>
        <w:jc w:val="both"/>
      </w:pPr>
      <w:r xml:space="preserve">
        <w:t> </w:t>
      </w:r>
      <w:r xml:space="preserve">
        <w:t> </w:t>
      </w:r>
      <w:r xml:space="preserve">
        <w:t> </w:t>
      </w:r>
      <w:r xml:space="preserve">
        <w:t> </w:t>
      </w:r>
      <w:r xml:space="preserve">
        <w:t> </w:t>
      </w:r>
      <w:r>
        <w:t xml:space="preserve">Harris of Williamson</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coverage for certain fertility preservation services under certain health benefit plans.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1366, Insurance Code, is amended by adding Subchapter C to read as follows:</w:t>
      </w:r>
    </w:p>
    <w:p w:rsidR="003F3435" w:rsidRDefault="0032493E">
      <w:pPr>
        <w:spacing w:line="480" w:lineRule="auto"/>
        <w:jc w:val="center"/>
      </w:pPr>
      <w:r>
        <w:rPr>
          <w:u w:val="single"/>
        </w:rPr>
        <w:t xml:space="preserve">SUBCHAPTER C.  COVERAGE FOR CERTAIN FERTILITY PRESERVATION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1366.101.</w:t>
      </w:r>
      <w:r>
        <w:rPr>
          <w:u w:val="single"/>
        </w:rPr>
        <w:t xml:space="preserve"> </w:t>
      </w:r>
      <w:r>
        <w:rPr>
          <w:u w:val="single"/>
        </w:rPr>
        <w:t xml:space="preserve"> </w:t>
      </w:r>
      <w:r>
        <w:rPr>
          <w:u w:val="single"/>
        </w:rPr>
        <w:t xml:space="preserve">APPLICABILITY OF SUBCHAPTER.  (a)  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in this state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1366.102.</w:t>
      </w:r>
      <w:r>
        <w:rPr>
          <w:u w:val="single"/>
        </w:rPr>
        <w:t xml:space="preserve"> </w:t>
      </w:r>
      <w:r>
        <w:rPr>
          <w:u w:val="single"/>
        </w:rPr>
        <w:t xml:space="preserve"> </w:t>
      </w:r>
      <w:r>
        <w:rPr>
          <w:u w:val="single"/>
        </w:rPr>
        <w:t xml:space="preserve">EXCEPTIONS.  This subchapter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health benefit plan that provides coverage: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wages or payments in lieu of wages for a period during which an employee is absent from work because of sickness or injury;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only for hospital expenses;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Medicaid managed care programs operated under Chapter 533,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Medicaid programs operated under Chapter 32, Human Resources Code;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state child health plan operated under Chapter 62 or 63,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1366.103.</w:t>
      </w:r>
      <w:r>
        <w:rPr>
          <w:u w:val="single"/>
        </w:rPr>
        <w:t xml:space="preserve"> </w:t>
      </w:r>
      <w:r>
        <w:rPr>
          <w:u w:val="single"/>
        </w:rPr>
        <w:t xml:space="preserve"> </w:t>
      </w:r>
      <w:r>
        <w:rPr>
          <w:u w:val="single"/>
        </w:rPr>
        <w:t xml:space="preserve">REQUIRED COVERAGE.  (a)  Subject to Subsection (b), a health benefit plan must provide coverage for fertility preservation services to a covered person who will receive a medically necessary treatment, including surgery, chemotherapy, and radiation, that the American Society of Clinical Oncology or the American Society for Reproductive Medicine has established may directly or indirectly cause impaired fertility.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fertility preservation services described by Subsection (a) must be standard procedures to preserve fertility consistent with established medical practices or professional guidelines published by the American Society of Clinical Oncology or the American Society for Reproductive Medicine.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 health benefit plan that is delivered, issued for delivery, or renewed on or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