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88R8019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Capriglione, Murr, Goldman</w:t>
      </w:r>
      <w:r xml:space="preserve">
        <w:tab wTab="150" tlc="none" cTlc="0"/>
      </w:r>
      <w:r>
        <w:t xml:space="preserve">H.B.</w:t>
      </w:r>
      <w:r xml:space="preserve">
        <w:t> </w:t>
      </w:r>
      <w:r>
        <w:t xml:space="preserve">No.</w:t>
      </w:r>
      <w:r xml:space="preserve">
        <w:t> </w:t>
      </w:r>
      <w:r>
        <w:t xml:space="preserve">1654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child for a determinate sentence for engaging in delinquent conduct that constitutes certain organized criminal activity.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53.045(a),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 constitutes habitual felony conduct as described by Section 51.031 or that included the violation of any of the following provisions:</w:t>
      </w:r>
    </w:p>
    <w:p w:rsidR="003F3435" w:rsidRDefault="0032493E">
      <w:pPr>
        <w:spacing w:line="480" w:lineRule="auto"/>
        <w:ind w:firstLine="1440"/>
        <w:jc w:val="both"/>
      </w:pPr>
      <w:r>
        <w:t xml:space="preserve">(1)</w:t>
      </w:r>
      <w:r xml:space="preserve">
        <w:t> </w:t>
      </w:r>
      <w:r xml:space="preserve">
        <w:t> </w:t>
      </w:r>
      <w:r>
        <w:t xml:space="preserve">Section 19.02, Penal Code (murder);</w:t>
      </w:r>
    </w:p>
    <w:p w:rsidR="003F3435" w:rsidRDefault="0032493E">
      <w:pPr>
        <w:spacing w:line="480" w:lineRule="auto"/>
        <w:ind w:firstLine="1440"/>
        <w:jc w:val="both"/>
      </w:pPr>
      <w:r>
        <w:t xml:space="preserve">(2)</w:t>
      </w:r>
      <w:r xml:space="preserve">
        <w:t> </w:t>
      </w:r>
      <w:r xml:space="preserve">
        <w:t> </w:t>
      </w:r>
      <w:r>
        <w:t xml:space="preserve">Section 19.03, Penal Code (capital murder);</w:t>
      </w:r>
    </w:p>
    <w:p w:rsidR="003F3435" w:rsidRDefault="0032493E">
      <w:pPr>
        <w:spacing w:line="480" w:lineRule="auto"/>
        <w:ind w:firstLine="1440"/>
        <w:jc w:val="both"/>
      </w:pPr>
      <w:r>
        <w:t xml:space="preserve">(3)</w:t>
      </w:r>
      <w:r xml:space="preserve">
        <w:t> </w:t>
      </w:r>
      <w:r xml:space="preserve">
        <w:t> </w:t>
      </w:r>
      <w:r>
        <w:t xml:space="preserve">Section 19.04, Penal Code (manslaughter);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22.011, Penal Code (sexual assault) or Section 22.021, Penal Code (aggravated sexual assault);</w:t>
      </w:r>
    </w:p>
    <w:p w:rsidR="003F3435" w:rsidRDefault="0032493E">
      <w:pPr>
        <w:spacing w:line="480" w:lineRule="auto"/>
        <w:ind w:firstLine="1440"/>
        <w:jc w:val="both"/>
      </w:pPr>
      <w:r>
        <w:t xml:space="preserve">(6)</w:t>
      </w:r>
      <w:r xml:space="preserve">
        <w:t> </w:t>
      </w:r>
      <w:r xml:space="preserve">
        <w:t> </w:t>
      </w:r>
      <w:r>
        <w:t xml:space="preserve">Section 22.02, Penal Code (aggravated assault);</w:t>
      </w:r>
    </w:p>
    <w:p w:rsidR="003F3435" w:rsidRDefault="0032493E">
      <w:pPr>
        <w:spacing w:line="480" w:lineRule="auto"/>
        <w:ind w:firstLine="1440"/>
        <w:jc w:val="both"/>
      </w:pPr>
      <w:r>
        <w:t xml:space="preserve">(7)</w:t>
      </w:r>
      <w:r xml:space="preserve">
        <w:t> </w:t>
      </w:r>
      <w:r xml:space="preserve">
        <w:t> </w:t>
      </w:r>
      <w:r>
        <w:t xml:space="preserve">Section 29.03, Penal Code (aggravated robbery);</w:t>
      </w:r>
    </w:p>
    <w:p w:rsidR="003F3435" w:rsidRDefault="0032493E">
      <w:pPr>
        <w:spacing w:line="480" w:lineRule="auto"/>
        <w:ind w:firstLine="1440"/>
        <w:jc w:val="both"/>
      </w:pPr>
      <w:r>
        <w:t xml:space="preserve">(8)</w:t>
      </w:r>
      <w:r xml:space="preserve">
        <w:t> </w:t>
      </w:r>
      <w:r xml:space="preserve">
        <w:t> </w:t>
      </w:r>
      <w:r>
        <w:t xml:space="preserve">Section 22.04, Penal Code (injury to a child, elderly individual, or disabled individual), if the offense is punishable as a felony, other than a state jail felony;</w:t>
      </w:r>
    </w:p>
    <w:p w:rsidR="003F3435" w:rsidRDefault="0032493E">
      <w:pPr>
        <w:spacing w:line="480" w:lineRule="auto"/>
        <w:ind w:firstLine="1440"/>
        <w:jc w:val="both"/>
      </w:pPr>
      <w:r>
        <w:t xml:space="preserve">(9)</w:t>
      </w:r>
      <w:r xml:space="preserve">
        <w:t> </w:t>
      </w:r>
      <w:r xml:space="preserve">
        <w:t> </w:t>
      </w:r>
      <w:r>
        <w:t xml:space="preserve">Section 22.05(b), Penal Code (felony deadly conduct involving discharging a firearm);</w:t>
      </w:r>
    </w:p>
    <w:p w:rsidR="003F3435" w:rsidRDefault="0032493E">
      <w:pPr>
        <w:spacing w:line="480" w:lineRule="auto"/>
        <w:ind w:firstLine="1440"/>
        <w:jc w:val="both"/>
      </w:pPr>
      <w:r>
        <w:t xml:space="preserve">(10)</w:t>
      </w:r>
      <w:r xml:space="preserve">
        <w:t> </w:t>
      </w:r>
      <w:r xml:space="preserve">
        <w:t> </w:t>
      </w:r>
      <w:r>
        <w:t xml:space="preserve">Subchapter D, Chapter 481, Health and Safety Code, if the conduct constitutes a felony of the first degree or an aggravated controlled substance felony (certain offenses involving controlled substances);</w:t>
      </w:r>
    </w:p>
    <w:p w:rsidR="003F3435" w:rsidRDefault="0032493E">
      <w:pPr>
        <w:spacing w:line="480" w:lineRule="auto"/>
        <w:ind w:firstLine="1440"/>
        <w:jc w:val="both"/>
      </w:pPr>
      <w:r>
        <w:t xml:space="preserve">(11)</w:t>
      </w:r>
      <w:r xml:space="preserve">
        <w:t> </w:t>
      </w:r>
      <w:r xml:space="preserve">
        <w:t> </w:t>
      </w:r>
      <w:r>
        <w:t xml:space="preserve">Section 15.03, Penal Code (criminal solicitation);</w:t>
      </w:r>
    </w:p>
    <w:p w:rsidR="003F3435" w:rsidRDefault="0032493E">
      <w:pPr>
        <w:spacing w:line="480" w:lineRule="auto"/>
        <w:ind w:firstLine="1440"/>
        <w:jc w:val="both"/>
      </w:pPr>
      <w:r>
        <w:t xml:space="preserve">(12)</w:t>
      </w:r>
      <w:r xml:space="preserve">
        <w:t> </w:t>
      </w:r>
      <w:r xml:space="preserve">
        <w:t> </w:t>
      </w:r>
      <w:r>
        <w:t xml:space="preserve">Section 21.11(a)(1), Penal Code (indecency with a child);</w:t>
      </w:r>
    </w:p>
    <w:p w:rsidR="003F3435" w:rsidRDefault="0032493E">
      <w:pPr>
        <w:spacing w:line="480" w:lineRule="auto"/>
        <w:ind w:firstLine="1440"/>
        <w:jc w:val="both"/>
      </w:pPr>
      <w:r>
        <w:t xml:space="preserve">(13)</w:t>
      </w:r>
      <w:r xml:space="preserve">
        <w:t> </w:t>
      </w:r>
      <w:r xml:space="preserve">
        <w:t> </w:t>
      </w:r>
      <w:r>
        <w:t xml:space="preserve">Section 15.031, Penal Code (criminal solicitation of a minor);</w:t>
      </w:r>
    </w:p>
    <w:p w:rsidR="003F3435" w:rsidRDefault="0032493E">
      <w:pPr>
        <w:spacing w:line="480" w:lineRule="auto"/>
        <w:ind w:firstLine="1440"/>
        <w:jc w:val="both"/>
      </w:pPr>
      <w:r>
        <w:t xml:space="preserve">(14)</w:t>
      </w:r>
      <w:r xml:space="preserve">
        <w:t> </w:t>
      </w:r>
      <w:r xml:space="preserve">
        <w:t> </w:t>
      </w:r>
      <w:r>
        <w:t xml:space="preserve">Section 15.01, Penal Code (criminal attempt), if the offense attempted was an offense under Section 19.02, Penal Code (murder), or Section 19.03, Penal Code (capital murder), or an offense listed by Article 42A.054(a), Code of Criminal Procedure;</w:t>
      </w:r>
    </w:p>
    <w:p w:rsidR="003F3435" w:rsidRDefault="0032493E">
      <w:pPr>
        <w:spacing w:line="480" w:lineRule="auto"/>
        <w:ind w:firstLine="1440"/>
        <w:jc w:val="both"/>
      </w:pPr>
      <w:r>
        <w:t xml:space="preserve">(15)</w:t>
      </w:r>
      <w:r xml:space="preserve">
        <w:t> </w:t>
      </w:r>
      <w:r xml:space="preserve">
        <w:t> </w:t>
      </w:r>
      <w:r>
        <w:t xml:space="preserve">Section 28.02, Penal Code (arson), if bodily injury or death is suffered by any person by reason of the commission of the conduct;</w:t>
      </w:r>
    </w:p>
    <w:p w:rsidR="003F3435" w:rsidRDefault="0032493E">
      <w:pPr>
        <w:spacing w:line="480" w:lineRule="auto"/>
        <w:ind w:firstLine="1440"/>
        <w:jc w:val="both"/>
      </w:pPr>
      <w:r>
        <w:t xml:space="preserve">(16)</w:t>
      </w:r>
      <w:r xml:space="preserve">
        <w:t> </w:t>
      </w:r>
      <w:r xml:space="preserve">
        <w:t> </w:t>
      </w:r>
      <w:r>
        <w:t xml:space="preserve">Section 49.08, Penal Code (intoxication manslaughter);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Section 15.02, Penal Code (criminal conspiracy), if the offense made the subject of the criminal conspiracy includes a violation of any of the provisions referenced in Subdivisions (1) through (16)</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71.02, Penal Code (engaging in organized criminal activity), if the offense made the subject of the organized criminal activity includes a violation of any of the provisions referenced in Subdivisions (1) through (16)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conduct violating a penal law of this state that occurs on or after the effective date of this Act.</w:t>
      </w:r>
      <w:r xml:space="preserve">
        <w:t> </w:t>
      </w:r>
      <w:r xml:space="preserve">
        <w:t> </w:t>
      </w:r>
      <w:r>
        <w:t xml:space="preserve">Conduct violating a penal law of this state that occurs before the effective date of this Act is governed by the law in effect on the date the conduct occurred, and the former law is continued in effect for that purpose.</w:t>
      </w:r>
      <w:r xml:space="preserve">
        <w:t> </w:t>
      </w:r>
      <w:r xml:space="preserve">
        <w:t> </w:t>
      </w:r>
      <w:r>
        <w:t xml:space="preserve">For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