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88R4201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1658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access to records regarding library materials checked out from public school libraries and instructional materials used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library materials checked out by the child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26.006,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school district and open-enrollment charter school shall post on the home page of the district's or school's Internet website a notice stating that a parent of a student enrolled in the district or school is entitled to review the materials described by Subsection (a)(1) and may request that the district or school make the materials available for review as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