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88R3764 LRM-D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Capriglione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1659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cybersecurity training for certain public employees.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2054.5191, Government Code, is amended by adding Subsection (g)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purposes of this section, "state agency" includes the legislature and a legislative agency.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11.175(g), Education Code, as added by Chapter 1045 (S.B. 1267), Acts of the 87th Legislature, Regular Session, 2021,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To the extent of any conflict, this Act prevails over another Act of the 88th Legislature, Regular Session, 2023, relating to nonsubstantive additions to and corrections in enacted codes.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