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1661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age limit for a beginning position in a police department under municipal civil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143.023(c), Local Government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143.083, Local Government Code, is amended to read as follows:</w:t>
      </w:r>
    </w:p>
    <w:p w:rsidR="003F3435" w:rsidRDefault="0032493E">
      <w:pPr>
        <w:spacing w:line="480" w:lineRule="auto"/>
        <w:ind w:firstLine="720"/>
        <w:jc w:val="both"/>
      </w:pPr>
      <w:r>
        <w:t xml:space="preserve">Sec.</w:t>
      </w:r>
      <w:r xml:space="preserve">
        <w:t> </w:t>
      </w:r>
      <w:r>
        <w:t xml:space="preserve">143.083.</w:t>
      </w:r>
      <w:r xml:space="preserve">
        <w:t> </w:t>
      </w:r>
      <w:r xml:space="preserve">
        <w:t> </w:t>
      </w:r>
      <w:r>
        <w:t xml:space="preserve">EMERGENCY APPOINTMENT OF TEMPORARY FIRE FIGHTERS [</w:t>
      </w:r>
      <w:r>
        <w:rPr>
          <w:strike/>
        </w:rPr>
        <w:t xml:space="preserve">AND POLICE OFFICERS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143.083(a),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a municipality is unable to recruit qualified fire fighters [</w:t>
      </w:r>
      <w:r>
        <w:rPr>
          <w:strike/>
        </w:rPr>
        <w:t xml:space="preserve">or police officers</w:t>
      </w:r>
      <w:r>
        <w:t xml:space="preserve">] because of the maximum age limit prescribed by Section 143.023 and the municipality's governing body finds that this inability creates an emergency, the commission shall recommend to the governing body additional rules governing the temporary employment of persons who are 36 years of age or older.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143.084, Local Government Code, is amended to read as follows:</w:t>
      </w:r>
    </w:p>
    <w:p w:rsidR="003F3435" w:rsidRDefault="0032493E">
      <w:pPr>
        <w:spacing w:line="480" w:lineRule="auto"/>
        <w:ind w:firstLine="720"/>
        <w:jc w:val="both"/>
      </w:pPr>
      <w:r>
        <w:t xml:space="preserve">Sec.</w:t>
      </w:r>
      <w:r xml:space="preserve">
        <w:t> </w:t>
      </w:r>
      <w:r>
        <w:t xml:space="preserve">143.084.</w:t>
      </w:r>
      <w:r xml:space="preserve">
        <w:t> </w:t>
      </w:r>
      <w:r xml:space="preserve">
        <w:t> </w:t>
      </w:r>
      <w:r>
        <w:t xml:space="preserve">CIVIL SERVICE STATUS AND PENSION BENEFITS FOR CERTAIN FIRE FIGHTERS [</w:t>
      </w:r>
      <w:r>
        <w:rPr>
          <w:strike/>
        </w:rPr>
        <w:t xml:space="preserve">AND POLICE OFFICERS</w:t>
      </w:r>
      <w:r>
        <w:t xml:space="preserve">].  (a)  Each fire fighter [</w:t>
      </w:r>
      <w:r>
        <w:rPr>
          <w:strike/>
        </w:rPr>
        <w:t xml:space="preserve">or police officer</w:t>
      </w:r>
      <w:r>
        <w:t xml:space="preserve">] who, since December 31, 1969, has been continuously employed as a temporary employee under the provision codified as Section 143.083 has the full status of a civil service employee with all the rights and privileges granted by Section 143.005.</w:t>
      </w:r>
    </w:p>
    <w:p w:rsidR="003F3435" w:rsidRDefault="0032493E">
      <w:pPr>
        <w:spacing w:line="480" w:lineRule="auto"/>
        <w:ind w:firstLine="720"/>
        <w:jc w:val="both"/>
      </w:pPr>
      <w:r>
        <w:t xml:space="preserve">(b)</w:t>
      </w:r>
      <w:r xml:space="preserve">
        <w:t> </w:t>
      </w:r>
      <w:r xml:space="preserve">
        <w:t> </w:t>
      </w:r>
      <w:r>
        <w:t xml:space="preserve">A fire fighter [</w:t>
      </w:r>
      <w:r>
        <w:rPr>
          <w:strike/>
        </w:rPr>
        <w:t xml:space="preserve">or police officer</w:t>
      </w:r>
      <w:r>
        <w:t xml:space="preserve">] covered by Subsection (a) is eligible to participate in earned pension benefits.  The person may buy back service credits in the pension fund in which the permanent fire fighters [</w:t>
      </w:r>
      <w:r>
        <w:rPr>
          <w:strike/>
        </w:rPr>
        <w:t xml:space="preserve">or police officers</w:t>
      </w:r>
      <w:r>
        <w:t xml:space="preserve">] in the department have participated since that person's employment.  The credits may be bought at a rate determined by the actuary of the affected pension fund.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143.084, Local Government Code, as amended by this Act, does not affect the civil service status or eligibility for pension benefits of a police officer to whom that section applied immediately before the effective date of this Act.  The civil service status and eligibility for pension benefits of a police officer to whom that section applied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1661 was passed by the House on April 28, 2023, by the following vote:</w:t>
      </w:r>
      <w:r xml:space="preserve">
        <w:t> </w:t>
      </w:r>
      <w:r xml:space="preserve">
        <w:t> </w:t>
      </w:r>
      <w:r>
        <w:t xml:space="preserve">Yeas 144,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1661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