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1666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commingling of funds by digital asset service providers;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3, Finance Code, is amended by adding Chapter 160 to read as follows:</w:t>
      </w:r>
    </w:p>
    <w:p w:rsidR="003F3435" w:rsidRDefault="0032493E">
      <w:pPr>
        <w:spacing w:line="480" w:lineRule="auto"/>
        <w:jc w:val="center"/>
      </w:pPr>
      <w:r>
        <w:rPr>
          <w:u w:val="single"/>
        </w:rPr>
        <w:t xml:space="preserve">CHAPTER 160.  DIGITAL ASSET SERVICE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Finance Commission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"Customer funds" means the digital assets, fiat currency, or other property deposited by a digital asset customer.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Banking.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asset" means a natively electronic asset that confers economic, proprietary, or access rights and is recorded or stored in a blockchain, cryptographically secured distributed ledger, or similar technology, and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digital asset that the laws of any country consider to be legal tender;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virtual currency as defined by Section 12.001, Business &amp; Commerce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"Digital asset customer" means a person who deposits fiat currency or a digital asset with a digital asset service provider.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"Digital asset service provider" means an electronic platform that facilitates the trading of digital assets on behalf of a digital asset customer and maintains custody of the customer's digital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160.002.</w:t>
      </w:r>
      <w:r>
        <w:rPr>
          <w:u w:val="single"/>
        </w:rPr>
        <w:t xml:space="preserve"> </w:t>
      </w:r>
      <w:r>
        <w:rPr>
          <w:u w:val="single"/>
        </w:rPr>
        <w:t xml:space="preserve"> </w:t>
      </w:r>
      <w:r>
        <w:rPr>
          <w:u w:val="single"/>
        </w:rPr>
        <w:t xml:space="preserve">ADMINISTRATION. </w:t>
      </w:r>
      <w:r>
        <w:rPr>
          <w:u w:val="single"/>
        </w:rPr>
        <w:t xml:space="preserve"> </w:t>
      </w:r>
      <w:r>
        <w:rPr>
          <w:u w:val="single"/>
        </w:rPr>
        <w:t xml:space="preserve">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160.003.</w:t>
      </w:r>
      <w:r>
        <w:rPr>
          <w:u w:val="single"/>
        </w:rPr>
        <w:t xml:space="preserve"> </w:t>
      </w:r>
      <w:r>
        <w:rPr>
          <w:u w:val="single"/>
        </w:rPr>
        <w:t xml:space="preserve"> </w:t>
      </w:r>
      <w:r>
        <w:rPr>
          <w:u w:val="single"/>
        </w:rPr>
        <w:t xml:space="preserve">APPLICABILITY.  (a)  This chapter applies to a digital asset service provider doing business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money transmission license under Subchapter D, Chapter 151;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serves more than 500 digital asset customers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at least $10 million in customer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bank, as defined by Section 31.002;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entity excluded by commission rule or by order of the banking commissioner based on a finding that the entity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required to hold a money transmission license under Subchapter D, Chapter 151;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subject to the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160.004.</w:t>
      </w:r>
      <w:r>
        <w:rPr>
          <w:u w:val="single"/>
        </w:rPr>
        <w:t xml:space="preserve"> </w:t>
      </w:r>
      <w:r>
        <w:rPr>
          <w:u w:val="single"/>
        </w:rPr>
        <w:t xml:space="preserve"> </w:t>
      </w:r>
      <w:r>
        <w:rPr>
          <w:u w:val="single"/>
        </w:rPr>
        <w:t xml:space="preserve">DUTIES OF DIGITAL ASSET SERVICE PROVIDERS.  (a)  Except as provided by this chapter, a digital asset service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commingle customer funds with funds belonging to the digital asset service provider, including the digital asset service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operating capital;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proprietary accounts;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digital assets;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fiat currency;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property that is not customer funds;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customer funds to secure or guarantee a transaction other than a transaction for the customer contributing the funds;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customer funds in such a manner that a digital asset customer may be unable to fully withdraw the customer's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requirements under state law, a digital asset service provider shall maintain customer funds not subject to the requirements of Chapter 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separate accounts for obligations to each digital asset customer;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an omnibus account that only contains digital assets of digital asset customers and in which digital assets of digital asset customers are not strictly segregated from each other.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digital asset service provider shall create a plan to allow: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digital asset customer to view at least quarterly an accounting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outstanding liabilities owed to the digital asset customer;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digital asset customer's digital assets held in custody by the digital asset service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auditor to access and view at any time a pseudonymized version of the information made available to each digital asset customer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90th day after the end of each fiscal year, a digital asset service provider shall file a report with the department. The report must include the following information, as of the end of the digital asset service provider's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attestation by the digital asset service provider of outstanding liability to digital asset customers;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customer assets held by the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provider's plan under Subsection (c);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attestation by an auditor that the information in the report is true and accurate.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auditor fulfilling the requirements of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an independent certified public accountant licensed in the United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attestation standards adopted by the American Institute of Certified Public Accountants.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digital asset service provider may meet the requirements of Subsections (c)(2), (d)(1), (d)(2), and (d)(4) by filing with the department a copy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audit of the digital asset service provider performed in accordance with the Sarbanes-Oxley Act of 2002 (15 U.S.C. Section 7201 et seq.) or regulations adopted under that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audit of the digital asset service provider's parent company that includes an audit of the digital service provider performed in accordance with the Sarbanes-Oxley Act of 2002 (15 U.S.C. Section 7201 et seq.) or regulations adopted under that 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digital asset service provider may include an amount of funds, assets, or property belonging to the digital asset service provider with customer funds for the purpose of facilitating trade and operational needs to provide digital asset services.  That amount of funds, assets, or other property belonging to the digital asset service provider is considered and shall be treated as customer funds.  A digital asset service provider may only withdraw or assert a claim on that amount to the extent that amount exceeds the amount deposited with the digital asset service provider by or for digital asset customers.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waive a requirement of this section or allow a digital asset service provider to submit alternative information to satisfy a requirement of this section if the commissioner determines that the waiver or alternative information is consistent with the purposes of this chapter and in the best interest of the public</w:t>
      </w:r>
      <w:r>
        <w:rPr>
          <w:u w:val="single"/>
        </w:rP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160.005.</w:t>
      </w:r>
      <w:r>
        <w:rPr>
          <w:u w:val="single"/>
        </w:rPr>
        <w:t xml:space="preserve"> </w:t>
      </w:r>
      <w:r>
        <w:rPr>
          <w:u w:val="single"/>
        </w:rPr>
        <w:t xml:space="preserve"> </w:t>
      </w:r>
      <w:r>
        <w:rPr>
          <w:u w:val="single"/>
        </w:rPr>
        <w:t xml:space="preserve">REQUIREMENTS FOR MONEY TRANSMISSION LICENSE.  (a)  In addition to any other requirements under Subchapter D, Chapter 151, a digital asset service provider must comply with the requirements of this chapter to obtain and maintain any money transmission license under Subchapter D, Chapter 151. </w:t>
      </w:r>
      <w:r>
        <w:rPr>
          <w:u w:val="single"/>
        </w:rPr>
        <w:t xml:space="preserve"> </w:t>
      </w:r>
      <w:r>
        <w:rPr>
          <w:u w:val="single"/>
        </w:rPr>
        <w:t xml:space="preserve">A digital asset service provider applying for a new money transmission license under Subchapter D, Chapter 151, must submit to the department the report required by Section 160.004(d).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suspend and revoke a money transmission license issued under Subchapter D, Chapter 151, to a digital asset service provider if the provider violates the requirements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any penalty under Subchapter H, Chapter 151, that the department may impose on a person who violates that chapter on a digital asset service provider who violates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examine a digital asset service provider in the same manner as allowed under Subchapter G, Chapter 151.  Information disclosed to the commissioner in connection with an examination under this section is confidential information and subject to the provisions regarding confidentiality under Subchapter G, Chapter 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160.006.</w:t>
      </w:r>
      <w:r>
        <w:rPr>
          <w:u w:val="single"/>
        </w:rPr>
        <w:t xml:space="preserve"> </w:t>
      </w:r>
      <w:r>
        <w:rPr>
          <w:u w:val="single"/>
        </w:rPr>
        <w:t xml:space="preserve"> </w:t>
      </w:r>
      <w:r>
        <w:rPr>
          <w:u w:val="single"/>
        </w:rPr>
        <w:t xml:space="preserve">RULES.  The commission may adopt rules to administer and enforce this chapter, including rules necessary and appropriate to implement and clarify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1666 was passed by the House on April 20, 2023, by the following vote:</w:t>
      </w:r>
      <w:r xml:space="preserve">
        <w:t> </w:t>
      </w:r>
      <w:r xml:space="preserve">
        <w:t> </w:t>
      </w:r>
      <w:r>
        <w:t xml:space="preserve">Yeas 148, Nays 0, 1 present, not voting; and that the House concurred in Senate amendments to H.B. No. 1666 on May 17, 2023, by the following vote:</w:t>
      </w:r>
      <w:r xml:space="preserve">
        <w:t> </w:t>
      </w:r>
      <w:r xml:space="preserve">
        <w:t> </w:t>
      </w:r>
      <w:r>
        <w:t xml:space="preserve">Yeas 145,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1666 was passed by the Senate, with amendments,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