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88R1142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counties required to hold an election to approve a reduction or reallocation of funding or resources for certain county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120.001, Local Government Code, is amended to read as follows:</w:t>
      </w:r>
    </w:p>
    <w:p w:rsidR="003F3435" w:rsidRDefault="0032493E">
      <w:pPr>
        <w:spacing w:line="480" w:lineRule="auto"/>
        <w:ind w:firstLine="720"/>
        <w:jc w:val="both"/>
      </w:pPr>
      <w:r>
        <w:t xml:space="preserve">Sec.</w:t>
      </w:r>
      <w:r xml:space="preserve">
        <w:t> </w:t>
      </w:r>
      <w:r>
        <w:t xml:space="preserve">120.001.</w:t>
      </w:r>
      <w:r xml:space="preserve">
        <w:t> </w:t>
      </w:r>
      <w:r xml:space="preserve">
        <w:t> </w:t>
      </w:r>
      <w:r>
        <w:t xml:space="preserve">APPLICABILITY.</w:t>
      </w:r>
      <w:r xml:space="preserve">
        <w:t> </w:t>
      </w:r>
      <w:r xml:space="preserve">
        <w:t> </w:t>
      </w:r>
      <w:r>
        <w:t xml:space="preserve">This chapter applies only to a county with a population of more than </w:t>
      </w:r>
      <w:r>
        <w:rPr>
          <w:u w:val="single"/>
        </w:rPr>
        <w:t xml:space="preserve">750,000</w:t>
      </w:r>
      <w:r>
        <w:t xml:space="preserve"> [</w:t>
      </w:r>
      <w:r>
        <w:rPr>
          <w:strike/>
        </w:rPr>
        <w:t xml:space="preserve">one million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county budget adopted for a fiscal year beginning on or after the effective date of this Act.  A county budget adopted for a fiscal year beginning before the effective date of this Act is governed by the law in effect on the date the budget was adopted,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