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88R1432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Jetton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1678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local remote learning program offered by a public school for certain students at risk of dropping out of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29, Education Code, is amended by adding Section 29.9092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29.9092.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LOCAL REMOTE LEARNING PROGRAM FOR STUDENTS AT RISK OF DROPPING OUT OF SCHOOL.  (a)  A school district or open-enrollment charter school may operate a local remote learning program to offer virtual courses outside the state virtual school network under Chapter 30A to eligible students at risk of dropping out of school.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virtual course offered under the local remote learning program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provided through asynchronous instruction;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for at least the same number of instructional hours as required for a course offered in a program that meets the required minimum number of minutes of operation under Section 25.081.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student is eligible to enroll in a virtual course offered under a local remote learning program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student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enrolled at the high school level at a school district or open-enrollment charter school;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student at risk of dropping out of school, as defined by Section 29.081;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district or school at which the student is enrolled determines under Subsection (d)(2) that participation in the program is suitable for the student.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that operates a local remote learning program shall develop a process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 students who are potentially eligible to enroll in a virtual course offered under the program;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screen students identified under Subdivision (1) to ensure that participation in the program is suitable for the student based on the student's academic needs and access to necessary technology.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may, but is not required to, provide technological equipment to students who enroll in a virtual course offered under a local remote learning program operated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student enrolled in a virtual course offered under a local remote learning program operated under this section shall be counted toward the school district's or open-enrollment charter school's average daily attendance in the same manner as other district or school students.  The commissioner shall adopt rules providing for a method of taking attendance, once each school day, for students enrolled in a virtual course offered under a local remote learning program operated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Chapter 30A does not apply to a virtual course offered under a local remote learning program operated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prohibit a student enrolled in a school district or open-enrollment charter school that operates a local remote learning program under this section from enrolling in courses offered through the state virtual school network under Chapter 30A.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