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88R4029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Hernandez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an energy efficiency program for school districts and open-enrollment charter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447.003,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447.003.</w:t>
      </w:r>
      <w:r xml:space="preserve">
        <w:t> </w:t>
      </w:r>
      <w:r xml:space="preserve">
        <w:t> </w:t>
      </w:r>
      <w:r>
        <w:t xml:space="preserve">LIAISON TO FEDERAL GOVERNMENT.</w:t>
      </w:r>
      <w:r xml:space="preserve">
        <w:t> </w:t>
      </w:r>
      <w:r xml:space="preserve">
        <w:t> </w:t>
      </w:r>
      <w:r>
        <w:t xml:space="preserve">The state energy conservation office is the state liaison to the federal government for the implementation and administration of federal programs relating to state agency energy matters.</w:t>
      </w:r>
      <w:r xml:space="preserve">
        <w:t> </w:t>
      </w:r>
      <w:r xml:space="preserve">
        <w:t> </w:t>
      </w:r>
      <w:r>
        <w:t xml:space="preserve">The office shall administer state programs established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Part D, Title III, Energy Policy and Conservation Act (42 U.S.C. Section 6321 et seq.), and its subsequent amendments;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Part G, Title III, Energy Policy and Conservation Act (42 U.S.C. Section 6371 et seq.), and its subsequent amendments;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the Clean School Bus Program and other energy conservation, resilience, and reliability programs established by the Infrastructure Investment and Jobs Act (Public Law 117-58), and its subsequent amendments;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 xml:space="preserve">
        <w:t> </w:t>
      </w:r>
      <w:r>
        <w:t xml:space="preserve">other federal energy conservation programs as assigned to the office by the governor or the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2305.031,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2305.031.</w:t>
      </w:r>
      <w:r xml:space="preserve">
        <w:t> </w:t>
      </w:r>
      <w:r xml:space="preserve">
        <w:t> </w:t>
      </w:r>
      <w:r>
        <w:t xml:space="preserve">OIL OVERCHARGE PROGRAMS.  </w:t>
      </w:r>
      <w:r>
        <w:rPr>
          <w:u w:val="single"/>
        </w:rPr>
        <w:t xml:space="preserve">(a)</w:t>
      </w:r>
      <w:r>
        <w:t xml:space="preserve">  The energy office shall maintain a revolving loan program for the benefit of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state agencies, universities, and political subdivisions</w:t>
      </w:r>
      <w:r>
        <w:rPr>
          <w:u w:val="single"/>
        </w:rPr>
        <w:t xml:space="preserve">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open-enrollment charter schools for the purposes of Section 2305.040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The energy office shall use oil overcharge funds for the programs and purposes in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2305, Government Code, is amended by adding Section 2305.040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2305.040.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ENERGY EFFICIENT SCHOOLS PROGRAM.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"bus" has the meaning assigned by Section 34.015(a), Education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energy efficient schools program is a program to promote, facilitate, and support the use of electric buses and solar panels in public schools and open-enrollment charter schools through grants, partnerships, and loans.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energy office is the supervising agency for the energy efficient schools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project funded under the energy efficient schools program may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acquisition of electric buses and charging stations by school districts and open-enrollment charter schools;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acquisition of solar panels for school campuses by school districts and open-enrollment charter schools;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electricity storage projects to provide efficient means of making stored energy available during periods of peak energy use,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projects to store electricity in buses;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projects to store electricity produced from solar generation.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