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88R3335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Button, Neave Criado, Harless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local option election on the sale of alcoholic beverages in certain areas of a municipality and the local regulation of premises in those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251.742, Alcoholic Beverage Code, is amended by amending Subsection (b)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applies only to a municipality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has a population of 15,000 or more[</w:t>
      </w:r>
      <w:r>
        <w:rPr>
          <w:strike/>
        </w:rPr>
        <w:t xml:space="preserve">;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is located in two counties one of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340,000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the Gulf of Mexico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240,000 or more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two or more counties;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borders a man-made lake that has a surface area of at least 20,000 acres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Chapter 211, Local Government Code, the governing body of the municipality may adopt zoning and land use regulations applicable to a premises that sells alcoholic beverages in the boundaries of a zone designated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