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88R7531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1695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an order to pay child support by contempt.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157.162,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not find a respondent in contempt of court for failure to pay child support if the respondent appears at the hearing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payment record or other evidence satisfactory to the court showing that the respondent is current in the payment of child support as ordered by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satisfactory to the court showing that the respondent's failure to make timely payments was due to an error made by a third party or other circumstances outside the respondent's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hearing to enforce an order in a suit affecting the parent-child relationship that commences on or after the effective date of this Act. </w:t>
      </w:r>
      <w:r>
        <w:t xml:space="preserve"> </w:t>
      </w:r>
      <w:r>
        <w:t xml:space="preserve">A hearing that commences before the effective date of this Act is governed by the law in effect on the date the hearing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