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1695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State Affairs; May</w:t>
      </w:r>
      <w:r xml:space="preserve">
        <w:t> </w:t>
      </w:r>
      <w:r>
        <w:t xml:space="preserve">23,</w:t>
      </w:r>
      <w:r xml:space="preserve">
        <w:t> </w:t>
      </w:r>
      <w:r>
        <w:t xml:space="preserve">2023, rereferred to Committee on Jurisprudence; May</w:t>
      </w:r>
      <w:r xml:space="preserve">
        <w:t> </w:t>
      </w:r>
      <w:r>
        <w:t xml:space="preserve">23,</w:t>
      </w:r>
      <w:r xml:space="preserve">
        <w:t> </w:t>
      </w:r>
      <w:r>
        <w:t xml:space="preserve">2023, reported favorably by the following vote:</w:t>
      </w:r>
      <w:r>
        <w:t xml:space="preserve"> </w:t>
      </w:r>
      <w:r>
        <w:t xml:space="preserve"> </w:t>
      </w:r>
      <w:r>
        <w:t xml:space="preserve">Yeas 4, Nays 0; May</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enforcement of an order to pay child support by contempt.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157.162,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not find a respondent in contempt of court for failure to pay child support if the respondent appears at the hearing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payment record or other evidence satisfactory to the court showing that the respondent is current in the payment of child support as ordered by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satisfactory to the court showing that the respondent's failure to make timely payments was due to an error made by a third party or other circumstances outside the respondent's control.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hearing to enforce an order in a suit affecting the parent-child relationship that commences on or after the effective date of this Act. </w:t>
      </w:r>
      <w:r>
        <w:t xml:space="preserve"> </w:t>
      </w:r>
      <w:r>
        <w:t xml:space="preserve">A hearing that commences before the effective date of this Act is governed by the law in effect on the date the hearing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