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88R6189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1701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administrative and judicial review of certain Medicaid reimbursement disputes;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533.0057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533.0057.</w:t>
      </w:r>
      <w:r>
        <w:rPr>
          <w:u w:val="single"/>
        </w:rPr>
        <w:t xml:space="preserve"> </w:t>
      </w:r>
      <w:r>
        <w:rPr>
          <w:u w:val="single"/>
        </w:rPr>
        <w:t xml:space="preserve"> </w:t>
      </w:r>
      <w:r>
        <w:rPr>
          <w:u w:val="single"/>
        </w:rPr>
        <w:t xml:space="preserve">CONFISCATORY REIMBURSEMENT RATES PROHIBITED; ADMINISTRATIVE AND JUDICIAL REVIEW OF CERTAIN REIMBURSEMENT DISPUTES.  (a) </w:t>
      </w:r>
      <w:r>
        <w:rPr>
          <w:u w:val="single"/>
        </w:rPr>
        <w:t xml:space="preserve"> </w:t>
      </w:r>
      <w:r>
        <w:rPr>
          <w:u w:val="single"/>
        </w:rPr>
        <w:t xml:space="preserve">In this section, "confiscatory" means, with respect to the reimbursement rate paid by a managed care organization to a provider, a rate that is below the rate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the provider's reasonable operating expenses;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realize a reasonable return on the provider's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confidence in the provider's continued: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financial integrity;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participation in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managed care organization may not pay a confiscatory reimbursement rate to a provider under a Medicaid managed care model or arrangement implemented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provider, including a pharmacy provider, has the right to a contested case hearing under Chapter 2001 to dispute the amount of a reimbursement rate paid to the provider by a managed care organization or the organization's pharmacy benefit manager if, subject to Subsection (f), the provider believes the rate is confiscatory in violation of Subsection (b), except that the decision of the hearing officer or the administrative law judge, as applicable, is not subject to judicial review under Chapter 2001.  Solely for purposes of this section, a managed care organization is to be treated as a state agency under Chapter 2001.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contested case hearing under Subsection (c) shall be conducted by an administrative law judge, unless the commission's appeals division employs at least one full-time hearing officer whose sole duty is to preside over contested cases.  If the commission's appeals division employs a hearing officer described by this subsection, that officer shall conduct the contested case hearing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Parties to a contested case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managed care organization and any appropriate agent of the organization, including a pharmacy benefit manager;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include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provider's contract with the managed care organization or the organization's agent contains a process for handling disputes relating to provider reimbursement, the provider may request a contested case hearing under Subsection (c)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first submits the dispute for resolution through the contractual process;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managed care organization or the organization's agent, as appropriate, fails to resolve the dispute through the contractual process not later than the 45th day after the day the dispute is submitted, or if the provider is dissatisfied with the resolution of the contractual process.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 contested case brought under this section, the hearing officer or administrative law judge, as applicable, shall determine whether the reimbursement rate is confiscatory and may order the managed care organization or the organization's agent to pay a rate that is not confiscatory.  A hearing officer or administrative law judge, as applicable, may not award an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any one provider that, as a percentage of the provider's average net income before taxes, exceeds the managed care organization's percentage of net income before taxes that is computed in accordance with the contract between the organization and the commission and is authorized to be retained by the organization under that contract, averaged over all financial statistical reporting periods;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in the aggregate, exceeds the amount of resources maintained by the managed care organization to reasonably accommodate program changes at no additional cost to the commission in accordance with the contract between the organization and the commission.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 contested case brought under this section, the hearing officer or administrative law judge, as applicable, has the discretion: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considering the interest of judicial economy and efficiency, to combine cases wholly or partly that involve the same type of provider and the same or substantially similar reimbursement issues;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impose part or all of the costs for the hearing against the party or parties that do not substantially prevail.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awarding costs in a contested case brought under this section, the hearing officer or administrative law judge,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 whether the position of the party was taken in good faith and had a reasonable basis in fact and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award attorney's fees.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or the State Office of Administrative Hearings may impose a fee in an amount not to exceed $500 on each party to a contested case brought under this section for the purpose of offsetting the costs of the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reimbursement paid to a Medicaid provider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