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88R6118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1702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unfair settlement practices with respect to workers' compensation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541.060,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a claim by an insured or beneficiary under an insurance policy for workers' compensation insurance.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