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88R18799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Perez, Cain, Oliverson,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1706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A. Johnson of Harris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 of an insured to enter into a contract with a public insurance adjuster.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4102, Insurance Code, is amended by adding Section 4102.007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4102.007.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TO CONTRACT WITH LICENSE HOLDER.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Sections 4001.002 and 4102.002, this section applies to a commercial or residential property insurance policy issued by an insurer,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capital stock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mutual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mutual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reciprocal or interinsurance exchange;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farm mutual insurance company;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eligible surplus lines insurer if this state is the insured's home state as defined by Section 981.002.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insured has the right to enter into a contract with a license holder to help the insured meet the insured's obligations under the insured's insurance policy. </w:t>
      </w:r>
      <w:r>
        <w:rPr>
          <w:u w:val="single"/>
        </w:rPr>
        <w:t xml:space="preserve"> </w:t>
      </w:r>
      <w:r>
        <w:rPr>
          <w:u w:val="single"/>
        </w:rPr>
        <w:t xml:space="preserve">An insurance policy issued in this state may not impede or prohibit this right.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insured is not required to enter into a contract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4102.007, Insurance Code, as added by this Act, applies only to an insurance policy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