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(e), (f), (g), (h), (i), (j), (k), (l), and (m)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if the charter school provides to the political subdivision the certification described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considered a school district by a political subdivision in accordance with Subsection (d), the governing body of an open-enrollment charter school must certify in writing to the political subdivision that no administrator, officer, or employee of the charter school and no member of the governing body of the charter school or its charter holder derives any personal financial benefit from a real estate transaction with the charter school.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open-enrollment charter school considered a school district under this section shall comply with the same requirements imposed by the political subdivision on a campus of a school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political subdivision may not consider an open-enrollment charter school a school district under Section 395.022, Local Government Code, for the purposes of the collection of impact fees imposed under Chapter 395, Local Government Code, by the political subdivision for providing capital funding for public water and wastewater facilities.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Except as otherwise provided by this section, this section does not affect the authority granted by state law to a political subdivision to regulate an open-enrollment charter school through applicable health and safety ordinances imposed by the political subdivision.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subsection applies only to information of a financial nature related to property transactions of an open-enrollment charter school subject to this section. </w:t>
      </w:r>
      <w:r>
        <w:rPr>
          <w:u w:val="single"/>
        </w:rPr>
        <w:t xml:space="preserve"> </w:t>
      </w:r>
      <w:r>
        <w:rPr>
          <w:u w:val="single"/>
        </w:rPr>
        <w:t xml:space="preserve">A nonprofit entity operating an open-enrollment charter school under Chapter 12 or a management company providing management services to the nonprofit entity is considered a governmental body for purposes of Chapter 552, Government Code, and financial information related to property transactions that is managed or possessed by the entity or company is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agreement between a municipality and an open-enrollment charter school under Subsection (b) may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revised land development standards may apply only while the property is used for purposes of the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property in use subject to land development standards established only for an open-enrollment charter school must be brought into compliance with all development regulations applicable to non-school related commercial developments by the property owner after closure or relocation of the charter school.</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u w:val="single"/>
        </w:rPr>
        <w:t xml:space="preserve">Land</w:t>
      </w:r>
      <w:r>
        <w:t xml:space="preserve"> [</w:t>
      </w:r>
      <w:r>
        <w:rPr>
          <w:strike/>
        </w:rP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1707 was passed by the House on April 28, 2023, by the following vote:</w:t>
      </w:r>
      <w:r xml:space="preserve">
        <w:t> </w:t>
      </w:r>
      <w:r xml:space="preserve">
        <w:t> </w:t>
      </w:r>
      <w:r>
        <w:t xml:space="preserve">Yeas 101, Nays 45, 1 present, not voting; and that the House concurred in Senate amendments to H.B. No. 1707 on May 25, 2023, by the following vote:</w:t>
      </w:r>
      <w:r xml:space="preserve">
        <w:t> </w:t>
      </w:r>
      <w:r xml:space="preserve">
        <w:t> </w:t>
      </w:r>
      <w:r>
        <w:t xml:space="preserve">Yeas 130, Nays 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1707 was passed by the Senate, with amendments, on May 23,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