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1712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a magistrate's name on certain signed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2.101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2.101.</w:t>
      </w:r>
      <w:r>
        <w:rPr>
          <w:u w:val="single"/>
        </w:rPr>
        <w:t xml:space="preserve"> </w:t>
      </w:r>
      <w:r>
        <w:rPr>
          <w:u w:val="single"/>
        </w:rPr>
        <w:t xml:space="preserve"> </w:t>
      </w:r>
      <w:r>
        <w:rPr>
          <w:u w:val="single"/>
        </w:rPr>
        <w:t xml:space="preserve">MAGISTRATE'S NAME ON SIGNED ORDER.  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in adding Article 2.101, Code of Criminal Procedure, applies to a signed order issued by a magistrate on or after the effective date of this Act. </w:t>
      </w:r>
      <w:r>
        <w:t xml:space="preserve"> </w:t>
      </w:r>
      <w:r>
        <w:t xml:space="preserve">A signed order issued by a magistrate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