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w:t xml:space="preserve"> (Senate Sponsor</w:t>
      </w:r>
      <w:r xml:space="preserve">
        <w:t> </w:t>
      </w:r>
      <w:r>
        <w:t xml:space="preserve">-</w:t>
      </w:r>
      <w:r xml:space="preserve">
        <w:t> </w:t>
      </w:r>
      <w:r>
        <w:t xml:space="preserve">Alvarado)</w:t>
      </w:r>
      <w:r xml:space="preserve">
        <w:tab wTab="150" tlc="none" cTlc="0"/>
      </w:r>
      <w:r>
        <w:t xml:space="preserve">H.B.</w:t>
      </w:r>
      <w:r xml:space="preserve">
        <w:t> </w:t>
      </w:r>
      <w:r>
        <w:t xml:space="preserve">No.</w:t>
      </w:r>
      <w:r xml:space="preserve">
        <w:t> </w:t>
      </w:r>
      <w:r>
        <w:t xml:space="preserve">1712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24,</w:t>
      </w:r>
      <w:r xml:space="preserve">
        <w:t> </w:t>
      </w:r>
      <w:r>
        <w:t xml:space="preserve">2023, read first time and referred to Committee on State Affairs; May</w:t>
      </w:r>
      <w:r xml:space="preserve">
        <w:t> </w:t>
      </w:r>
      <w:r>
        <w:t xml:space="preserve">12,</w:t>
      </w:r>
      <w:r xml:space="preserve">
        <w:t> </w:t>
      </w:r>
      <w:r>
        <w:t xml:space="preserve">2023, reported adversely, with favorable Committee Substitute by the following vote:</w:t>
      </w:r>
      <w:r>
        <w:t xml:space="preserve"> </w:t>
      </w:r>
      <w:r>
        <w:t xml:space="preserve"> </w:t>
      </w:r>
      <w:r>
        <w:t xml:space="preserve">Yeas 11, Nays 0; May</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1712</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inclusion of a magistrate's name on certain signed 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Code of Criminal Procedure, is amended by adding Article 2.101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2.101.</w:t>
      </w:r>
      <w:r>
        <w:rPr>
          <w:u w:val="single"/>
        </w:rPr>
        <w:t xml:space="preserve"> </w:t>
      </w:r>
      <w:r>
        <w:rPr>
          <w:u w:val="single"/>
        </w:rPr>
        <w:t xml:space="preserve"> </w:t>
      </w:r>
      <w:r>
        <w:rPr>
          <w:u w:val="single"/>
        </w:rPr>
        <w:t xml:space="preserve">MAGISTRATE'S NAME ON SIGNED ORDER.  (a) </w:t>
      </w:r>
      <w:r>
        <w:rPr>
          <w:u w:val="single"/>
        </w:rPr>
        <w:t xml:space="preserve"> </w:t>
      </w:r>
      <w:r>
        <w:rPr>
          <w:u w:val="single"/>
        </w:rPr>
        <w:t xml:space="preserve">Any signed order that is issued by a magistrate under this code or any signed order pertaining to a criminal matter that is issued by a magistrate under the Family Code, the Government Code, or other law of this state must include, with the magistrate's signature, the magistrate's name in legible handwriting, legible typewritten form, or legible stamp print.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failure of a magistrate to include the magistrate's name on an order as provided by Subsection (a) does not affect the validity of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defendant in a criminal action may make a motion to add to an order that does not comply with Subsection (a) the name of the magistrate who signed the order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order is relevant to the action;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is unable to identify the magistrate who signed the order.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supreme court may adopt rules to implement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in adding Article 2.101, Code of Criminal Procedure, applies to a signed order issued by a magistrate on or after the effective date of this Act. </w:t>
      </w:r>
      <w:r>
        <w:t xml:space="preserve"> </w:t>
      </w:r>
      <w:r>
        <w:t xml:space="preserve">A signed order issued by a magistrate before the effective date of this Act is governed by the law in effect on the date the order was issued,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1712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