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88R2666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1722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oil and gas infrastructure security division within the Railroad Commission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81.051, Natural Resources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commission's jurisdiction described by this section includes the responsibility and authority to secure pipelines and other oil and gas infrastructure in this state against severe weather events, cybersecurity threats, acts of terrorism, and other potential disruptions to the production of oil and gas in this state.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81, Natural Resources Code, is amended by adding Section 81.0535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81.0535.</w:t>
      </w:r>
      <w:r>
        <w:rPr>
          <w:u w:val="single"/>
        </w:rPr>
        <w:t xml:space="preserve"> </w:t>
      </w:r>
      <w:r>
        <w:rPr>
          <w:u w:val="single"/>
        </w:rPr>
        <w:t xml:space="preserve"> </w:t>
      </w:r>
      <w:r>
        <w:rPr>
          <w:u w:val="single"/>
        </w:rPr>
        <w:t xml:space="preserve">OIL AND GAS INFRASTRUCTURE SECURITY DIVISION.  (a)  In this section, "division" means the oil and gas infrastructure security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within the agency the oil and gas infrastructure security division with the primary responsibility and authority to secure pipelines and other oil and gas infrastructure in this state against severe weather events, cybersecurity threats, acts of terrorism, and other potential disruptions to the production of oil and gas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periodically conduct risk assessments of the oil and gas infrastructure in this state;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guidelines and adopt rules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 vulnerabilities identified by risk assessments conducted under Subdivision (1);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otherwise satisfy the responsibilities described by Subsection (b).</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shall solicit input from interested persons when establishing guidelines under Subsection (c)(2).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chairman shall select commission employees to staff the division.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