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88R15702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1741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1741:</w:t>
      </w: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C.S.H.B.</w:t>
      </w:r>
      <w:r xml:space="preserve">
        <w:t> </w:t>
      </w:r>
      <w:r>
        <w:t xml:space="preserve">No.</w:t>
      </w:r>
      <w:r xml:space="preserve">
        <w:t> </w:t>
      </w:r>
      <w:r>
        <w:t xml:space="preserve">1741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the unauthorized disclosure of non-public judicial opinions and judicial work product.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 Government Code, is amended by adding Section 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21.013.</w:t>
      </w:r>
      <w:r>
        <w:rPr>
          <w:u w:val="single"/>
        </w:rPr>
        <w:t xml:space="preserve"> </w:t>
      </w:r>
      <w:r>
        <w:rPr>
          <w:u w:val="single"/>
        </w:rPr>
        <w:t xml:space="preserve"> </w:t>
      </w:r>
      <w:r>
        <w:rPr>
          <w:u w:val="single"/>
        </w:rPr>
        <w:t xml:space="preserve">CONFIDENTIALITY OF JUDICIAL WORK PRODUCT; CRIMINAL OFFENSE.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"Judicial work product" means written, electronic, or oral material prepared or communications made in the course of an adjudicatory proceeding before a court determining legal rights, powers, duties, or privileges.  The term includes all drafts of opinions or orders and memoranda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"Non-public judicial work product"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written or electronic judicial work product other than documents filed with the clerk of a court for release to the public;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oral statement relating to judicial work product made in a closed session of a court or in judicial chambers.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established under Section 1, Article V, Texas Constitution, other than a commissioners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subject to this subtitle.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justice or judge of a court shall comply with supreme court rules governing the confidentiality of non-public judicial work product.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other than a justice or judge, who is involved in crafting an opinion or decision for an adjudicatory proceeding, including a court staff attorney, court clerk, or law clerk, shall maintain the confidentiality of all non-public judicial work product in accordance with supreme court rules.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other than a justice or judge, with access to non-public judicial work product commits an offense if the person knowingly discloses, wholly or partly, the contents of any non-public judicial work product to a person who is not a justice, judge, court staff attorney, court clerk, law clerk, employee of an agency established under Chapter 71 or 72, or other court staff routinely involved in crafting an opinion or decision for an adjudicatory proceeding.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a defense to prosecution under this section that the disclosure of the non-public judicial work product is authorized: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writing by the justice or judge for whom the work product is prepared;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supreme court rules.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Supreme Court shall adopt any rules necessary to implement Section 21.013,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