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88R19583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Noble, Jones of Dallas, et al.</w:t>
      </w:r>
      <w:r xml:space="preserve">
        <w:tab wTab="150" tlc="none" cTlc="0"/>
      </w:r>
      <w:r>
        <w:t xml:space="preserve">H.B.</w:t>
      </w:r>
      <w:r xml:space="preserve">
        <w:t> </w:t>
      </w:r>
      <w:r>
        <w:t xml:space="preserve">No.</w:t>
      </w:r>
      <w:r xml:space="preserve">
        <w:t> </w:t>
      </w:r>
      <w:r>
        <w:t xml:space="preserve">1743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1743:</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1743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memorandum of understanding between the Health and Human Services Commission and the Texas Department of Criminal Justice to assess the eligibility of certain inmates for supplemental nutrition assistance program benefits on discharge or release from confinement.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33.0181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33.0181.</w:t>
      </w:r>
      <w:r>
        <w:rPr>
          <w:u w:val="single"/>
        </w:rPr>
        <w:t xml:space="preserve"> </w:t>
      </w:r>
      <w:r>
        <w:rPr>
          <w:u w:val="single"/>
        </w:rPr>
        <w:t xml:space="preserve"> </w:t>
      </w:r>
      <w:r>
        <w:rPr>
          <w:u w:val="single"/>
        </w:rPr>
        <w:t xml:space="preserve">MEMORANDUM OF UNDERSTANDING REGARDING ELIGIBILITY DETERMINATIONS FOR CERTAIN INMATES.  (a) </w:t>
      </w:r>
      <w:r>
        <w:rPr>
          <w:u w:val="single"/>
        </w:rPr>
        <w:t xml:space="preserve"> </w:t>
      </w:r>
      <w:r>
        <w:rPr>
          <w:u w:val="single"/>
        </w:rPr>
        <w:t xml:space="preserve">In this section, "inmate" means an individual confined in a facility operated by or under contract with the Texas Department of Criminal Justice.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Texas Department of Criminal Justice shall enter into a memorandum of understanding for the purpose of ensuring that an inmate who is likely to be eligible for supplemental nutrition assistance benefits on discharge or release on parole, mandatory supervision, or conditional pardon is assessed by the commission for eligibility for those benefits before the inmate's discharge or release.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memorandum of understanding required by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procedure through which the commission shall accept and process supplemental nutrition assistance program applications from inmates;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define the roles and responsibilities of each agency under the memorandum.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memorandum of understanding required by Subsection (b) must be tailored to achieve the goal of ensuring that an inmate described by Subsection (b) who is determined eligible by the commission for supplemental nutrition assistance program benefits may begin receiving services under the program at the time of the inmate's discharge or release on parole, mandatory supervision, or conditional pardon.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Health and Human Services Commission and Texas Department of Criminal Justice shall enter into the memorandum of understanding required by Section 33.0181, Human Resources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