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88R4269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actions or arbitrations involving transportation network companies.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Civil Practice and Remedies Code, is amended by adding Chapter 150E to read as follows:</w:t>
      </w:r>
    </w:p>
    <w:p w:rsidR="003F3435" w:rsidRDefault="0032493E">
      <w:pPr>
        <w:spacing w:line="480" w:lineRule="auto"/>
        <w:jc w:val="center"/>
      </w:pPr>
      <w:r>
        <w:rPr>
          <w:u w:val="single"/>
        </w:rPr>
        <w:t xml:space="preserve">CHAPTER 150E. CIVIL ACTIONS OR ARBITRATIONS INVOLVING TRANSPORTATION NETWORK COMPANIES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"Digital network" and "transportation network company" have the meanings assigned by Section 2402.001,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"Network vehicle" means a land motor vehicle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available on a digital network;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of the following type: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black car or other for hire;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private passenger, pickup truck, or cargo van;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designed to operate primarily on a public road;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at least four wheels;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has seating for not more than eight passengers, including the driver.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150E.002.</w:t>
      </w:r>
      <w:r>
        <w:rPr>
          <w:u w:val="single"/>
        </w:rPr>
        <w:t xml:space="preserve"> </w:t>
      </w:r>
      <w:r>
        <w:rPr>
          <w:u w:val="single"/>
        </w:rPr>
        <w:t xml:space="preserve"> </w:t>
      </w:r>
      <w:r>
        <w:rPr>
          <w:u w:val="single"/>
        </w:rPr>
        <w:t xml:space="preserve">APPLICABILITY OF CHAPTER.  This chapter applies only to an action or arbitration proceeding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transportation network company is a defendant;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claimant seeks recovery of damages for loss of property, bodily injury, or death;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claim for which the action or proceeding is brought arises out of the ownership, use, operation, or possession of a network vehicle while the vehicle's driver or passenger was logged on to a transportation network company's digital network;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theory of recovery for which damages are sought against the transportation network company is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ownership, operation, design, manufacture, or maintenance of a digital network accessed by a driver or passenger;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relationship, affiliation, or interaction with a driver logged on to a transportation network company's digital network.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150E.003.</w:t>
      </w:r>
      <w:r>
        <w:rPr>
          <w:u w:val="single"/>
        </w:rPr>
        <w:t xml:space="preserve"> </w:t>
      </w:r>
      <w:r>
        <w:rPr>
          <w:u w:val="single"/>
        </w:rPr>
        <w:t xml:space="preserve"> </w:t>
      </w:r>
      <w:r>
        <w:rPr>
          <w:u w:val="single"/>
        </w:rPr>
        <w:t xml:space="preserve">REQUIRED AFFIDAVITS.  (a) </w:t>
      </w:r>
      <w:r>
        <w:rPr>
          <w:u w:val="single"/>
        </w:rPr>
        <w:t xml:space="preserve"> </w:t>
      </w:r>
      <w:r>
        <w:rPr>
          <w:u w:val="single"/>
        </w:rPr>
        <w:t xml:space="preserve">Except as provided by Subsection (b), at the time a claimant initially names a transportation network company as a party in an action or proceeding to which this chapter applies, a claimant shall, as applicable, file with the petition or provide to the arbitration tribunal and each other party at the initiation of the arbitration: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 by the claimant's counsel that sets forth specifically for each theory of recovery for which damages are sought: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negligence, if any, or other action, error, or omission of the company;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factual basis for each claim;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affidavit attesting that the damages suffered by the claimant exceed the applicable insurance coverage limit required under Chapter 1954, Insurance Code, that is signed by a third-party expert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competent to testify;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offers testimony based on the expert's: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knowledge;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skill;</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experience;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education;</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training;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practice.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contemporaneous filing requirement of Subsection (a) does not apply to any action or arbitration proceeding in which the limitations period expires within 10 days of the date of filing of the petition or initiation of arbitration and, because of the time constraints, a claimant has alleged that the required affidavits could not be prepared. </w:t>
      </w:r>
      <w:r>
        <w:rPr>
          <w:u w:val="single"/>
        </w:rPr>
        <w:t xml:space="preserve"> </w:t>
      </w:r>
      <w:r>
        <w:rPr>
          <w:u w:val="single"/>
        </w:rPr>
        <w:t xml:space="preserve">A claimant shall supplement the pleadings with the affidavits not later than the 30th day after the date the petition is filed or the arbitration is initiated. </w:t>
      </w:r>
      <w:r>
        <w:rPr>
          <w:u w:val="single"/>
        </w:rPr>
        <w:t xml:space="preserve"> </w:t>
      </w:r>
      <w:r>
        <w:rPr>
          <w:u w:val="single"/>
        </w:rPr>
        <w:t xml:space="preserve">The trial court or arbitration tribunal may, on a motion by a party, after hearing and for good cause, extend the deadline for supplementing the pleadings as the court or tribunal determines justice requires.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defendant in the action or arbitration proceeding is not required to file an answer to the petition or arbitration request until the 30th day after the date all affidavits required by Subsection (a) are filed.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extend any applicable period of limitation or repose.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150E.004.</w:t>
      </w:r>
      <w:r>
        <w:rPr>
          <w:u w:val="single"/>
        </w:rPr>
        <w:t xml:space="preserve"> </w:t>
      </w:r>
      <w:r>
        <w:rPr>
          <w:u w:val="single"/>
        </w:rPr>
        <w:t xml:space="preserve"> </w:t>
      </w:r>
      <w:r>
        <w:rPr>
          <w:u w:val="single"/>
        </w:rPr>
        <w:t xml:space="preserve">DISMISSAL FOR FAILURE TO PROVIDE AFFIDAVITS.  (a) </w:t>
      </w:r>
      <w:r>
        <w:rPr>
          <w:u w:val="single"/>
        </w:rPr>
        <w:t xml:space="preserve"> </w:t>
      </w:r>
      <w:r>
        <w:rPr>
          <w:u w:val="single"/>
        </w:rPr>
        <w:t xml:space="preserve">A court or arbitration tribunal shall dismiss with prejudice a complaint against a transportation network company with respect to which the claimant failed to file the affidavits in accordance with Section 150E.003.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granting or denying a motion for dismissal under this chapter is,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immediately appealable as an interlocutory order;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grounds to file an application to a court under Subchapter D, Chapter 171, for the court to review the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150E.005.</w:t>
      </w:r>
      <w:r>
        <w:rPr>
          <w:u w:val="single"/>
        </w:rPr>
        <w:t xml:space="preserve"> </w:t>
      </w:r>
      <w:r>
        <w:rPr>
          <w:u w:val="single"/>
        </w:rPr>
        <w:t xml:space="preserve"> </w:t>
      </w:r>
      <w:r>
        <w:rPr>
          <w:u w:val="single"/>
        </w:rPr>
        <w:t xml:space="preserve">LIMITATION OF LIABILITY.  A transportation network company may not be held vicariously liable for damages in an action or arbitration proceeding to which this chapter applies if the company: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did not commit a crime under the laws of this state or federal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fulfilled all of the company's obligations with respect to the transportation network company driver under Chapter 2402, Occupations Code, relating to the subject claim.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