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1751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and reporting of certain information regarding mental health jail diversion.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2.134(b) and (c),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A law enforcement agency shall compile and analyze the information contained in each report received by the agency under </w:t>
      </w:r>
      <w:r>
        <w:rPr>
          <w:u w:val="single"/>
        </w:rPr>
        <w:t xml:space="preserve">Articles</w:t>
      </w:r>
      <w:r>
        <w:t xml:space="preserve"> [</w:t>
      </w:r>
      <w:r>
        <w:rPr>
          <w:strike/>
        </w:rPr>
        <w:t xml:space="preserve">Article</w:t>
      </w:r>
      <w:r>
        <w:t xml:space="preserve">] 2.133 </w:t>
      </w:r>
      <w:r>
        <w:rPr>
          <w:u w:val="single"/>
        </w:rPr>
        <w:t xml:space="preserve">and 2.135</w:t>
      </w:r>
      <w:r>
        <w:t xml:space="preserve">. Not later than March 1 of each year, each law enforcement agency shall submit a report containing the incident-based data compiled during the previous calendar year to the Texas Commission on Law Enforcement and, if the law enforcement agency is a local law enforcement agency, to the governing body of each county or municipality served by the agency.</w:t>
      </w:r>
    </w:p>
    <w:p w:rsidR="003F3435" w:rsidRDefault="0032493E">
      <w:pPr>
        <w:spacing w:line="480" w:lineRule="auto"/>
        <w:ind w:firstLine="720"/>
        <w:jc w:val="both"/>
      </w:pPr>
      <w:r>
        <w:t xml:space="preserve">(c)</w:t>
      </w:r>
      <w:r xml:space="preserve">
        <w:t> </w:t>
      </w:r>
      <w:r xml:space="preserve">
        <w:t> </w:t>
      </w:r>
      <w:r>
        <w:t xml:space="preserve">A report required under Subsection (b) must be submitted by the chief administrator of the law enforcement agency, regardless of whether the administrator is elected, employed, or appointed, and must include:</w:t>
      </w:r>
    </w:p>
    <w:p w:rsidR="003F3435" w:rsidRDefault="0032493E">
      <w:pPr>
        <w:spacing w:line="480" w:lineRule="auto"/>
        <w:ind w:firstLine="1440"/>
        <w:jc w:val="both"/>
      </w:pPr>
      <w:r>
        <w:t xml:space="preserve">(1)</w:t>
      </w:r>
      <w:r xml:space="preserve">
        <w:t> </w:t>
      </w:r>
      <w:r xml:space="preserve">
        <w:t> </w:t>
      </w:r>
      <w:r>
        <w:t xml:space="preserve">a comparative analysis of the information compiled under Article 2.133 to:</w:t>
      </w:r>
    </w:p>
    <w:p w:rsidR="003F3435" w:rsidRDefault="0032493E">
      <w:pPr>
        <w:spacing w:line="480" w:lineRule="auto"/>
        <w:ind w:firstLine="2160"/>
        <w:jc w:val="both"/>
      </w:pPr>
      <w:r>
        <w:t xml:space="preserve">(A)</w:t>
      </w:r>
      <w:r xml:space="preserve">
        <w:t> </w:t>
      </w:r>
      <w:r xml:space="preserve">
        <w:t> </w:t>
      </w:r>
      <w:r>
        <w:t xml:space="preserve">evaluate and compare the number of motor vehicle stops, within the applicable jurisdiction, of persons who are recognized as racial or ethnic minorities and persons who are not recognized as racial or ethnic minorities;</w:t>
      </w:r>
    </w:p>
    <w:p w:rsidR="003F3435" w:rsidRDefault="0032493E">
      <w:pPr>
        <w:spacing w:line="480" w:lineRule="auto"/>
        <w:ind w:firstLine="2160"/>
        <w:jc w:val="both"/>
      </w:pPr>
      <w:r>
        <w:t xml:space="preserve">(B)</w:t>
      </w:r>
      <w:r xml:space="preserve">
        <w:t> </w:t>
      </w:r>
      <w:r xml:space="preserve">
        <w:t> </w:t>
      </w:r>
      <w:r>
        <w:t xml:space="preserve">examine the disposition of motor vehicle stops made by officers employed by the agency, categorized according to the race or ethnicity of the affected persons, as appropriate, including any searches resulting from stops within the applicable jurisdiction; and</w:t>
      </w:r>
    </w:p>
    <w:p w:rsidR="003F3435" w:rsidRDefault="0032493E">
      <w:pPr>
        <w:spacing w:line="480" w:lineRule="auto"/>
        <w:ind w:firstLine="2160"/>
        <w:jc w:val="both"/>
      </w:pPr>
      <w:r>
        <w:t xml:space="preserve">(C)</w:t>
      </w:r>
      <w:r xml:space="preserve">
        <w:t> </w:t>
      </w:r>
      <w:r xml:space="preserve">
        <w:t> </w:t>
      </w:r>
      <w:r>
        <w:t xml:space="preserve">evaluate and compare the number of searches resulting from motor vehicle stops within the applicable jurisdiction and whether contraband or other evidence was discovered in the course of those searches;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comparative analysis of the information compiled under Article 2.135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examine the initial reason that a peace officer arrested a person the officer had reasonable cause to believe is a person with mental illness or a person with an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examine discrepancies between attempted diversions of persons with mental illness or persons with an intellectual disability from criminal justice involvement that were not successful and attempted diversions that were successful;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evaluate the peace officer's use of restraints and use of force against persons who the officer has reasonable cause to believe are persons with mental illness or persons with an intellectual disability; and</w:t>
      </w:r>
    </w:p>
    <w:p w:rsidR="003F3435" w:rsidRDefault="0032493E">
      <w:pPr>
        <w:spacing w:line="480" w:lineRule="auto"/>
        <w:ind w:firstLine="1440"/>
        <w:jc w:val="both"/>
      </w:pPr>
      <w:r>
        <w:rPr>
          <w:u w:val="single"/>
        </w:rPr>
        <w:t xml:space="preserve">(3)</w:t>
      </w:r>
      <w:r xml:space="preserve">
        <w:t> </w:t>
      </w:r>
      <w:r xml:space="preserve">
        <w:t> </w:t>
      </w:r>
      <w:r>
        <w:t xml:space="preserve">information relating to each complaint filed with the agency alleging that a peace officer employed by the agency has engaged in racial profiling.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 Code of Criminal Procedure, is amended by adding Article 2.135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2.135.</w:t>
      </w:r>
      <w:r>
        <w:rPr>
          <w:u w:val="single"/>
        </w:rPr>
        <w:t xml:space="preserve"> </w:t>
      </w:r>
      <w:r>
        <w:rPr>
          <w:u w:val="single"/>
        </w:rPr>
        <w:t xml:space="preserve"> </w:t>
      </w:r>
      <w:r>
        <w:rPr>
          <w:u w:val="single"/>
        </w:rPr>
        <w:t xml:space="preserve">REPORTS REQUIRED FOR PERSONS WITH SUSPECTED MENTAL ILLNESS OR INTELLECTUAL DISABILITY.  (a)  A peace officer who arrests a person the peace officer has reasonable cause to believe is a person with mental illness or a person with an intellectual disability or detains the person in accordance with Subchapter A, Chapter 573, Health and Safety Code, shall report to the officer's law enforcement agency certain information,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person's behavior that led the peace officer to reasonably believe that the person is a person with mental illness or a person with an intellectual disability,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behavioral indications of mental illness 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verbal indications of distress by the person or a bystander;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physical injuries incurred before or during  the arrest;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medical treatment provided during the  arrest;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initial reason for the person's arrest;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officer conducted a search and, if so, whether the person consented to the search;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contraband or other evidence that was discovered in the course of a search conducted by the officer and a description of the contraband or evidence;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reason for a search conducted by the officer, including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contraband or other evidence was in plain view;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probable cause or reasonable suspicion existed to perform the search;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search was performed as a result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towing of the motor vehicle;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arrest of any person in the motor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law enforcement agency made a good faith effort to divert a person suffering a mental health crisis or suffering from the effects of substance abuse to a proper treatment center, as described by Article 16.23;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 officer used restraint against the person;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whether the officer used physical force that resulted in bodily injury, as that term is defined by Section 1.07, Penal Code, during the stop.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arresting officer shall provide the report described by Subsection (a) to the sheriff or municipal jailer at the time the defendant is transferred into the custody of the sheriff or jailer.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administrator of a law enforcement agency, regardless of whether the administrator is elected, employed, or appointed, is responsible for auditing reports under Subsection (a) to ensure the agency complies with this article by reporting all the required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511.0101(a),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county shall submit to the commission on or before the fifth day of each month a report containing the following information:</w:t>
      </w:r>
    </w:p>
    <w:p w:rsidR="003F3435" w:rsidRDefault="0032493E">
      <w:pPr>
        <w:spacing w:line="480" w:lineRule="auto"/>
        <w:ind w:firstLine="1440"/>
        <w:jc w:val="both"/>
      </w:pPr>
      <w:r>
        <w:t xml:space="preserve">(1)</w:t>
      </w:r>
      <w:r xml:space="preserve">
        <w:t> </w:t>
      </w:r>
      <w:r xml:space="preserve">
        <w:t> </w:t>
      </w:r>
      <w:r>
        <w:t xml:space="preserve">the number of prisoners confined in the county jail on the first day of the month, classified on the basis of the following categories:</w:t>
      </w:r>
    </w:p>
    <w:p w:rsidR="003F3435" w:rsidRDefault="0032493E">
      <w:pPr>
        <w:spacing w:line="480" w:lineRule="auto"/>
        <w:ind w:firstLine="2160"/>
        <w:jc w:val="both"/>
      </w:pPr>
      <w:r>
        <w:t xml:space="preserve">(A)</w:t>
      </w:r>
      <w:r xml:space="preserve">
        <w:t> </w:t>
      </w:r>
      <w:r xml:space="preserve">
        <w:t> </w:t>
      </w:r>
      <w:r>
        <w:t xml:space="preserve">total prisoners;</w:t>
      </w:r>
    </w:p>
    <w:p w:rsidR="003F3435" w:rsidRDefault="0032493E">
      <w:pPr>
        <w:spacing w:line="480" w:lineRule="auto"/>
        <w:ind w:firstLine="2160"/>
        <w:jc w:val="both"/>
      </w:pPr>
      <w:r>
        <w:t xml:space="preserve">(B)</w:t>
      </w:r>
      <w:r xml:space="preserve">
        <w:t> </w:t>
      </w:r>
      <w:r xml:space="preserve">
        <w:t> </w:t>
      </w:r>
      <w:r>
        <w:t xml:space="preserve">pretrial Class C misdemeanor offenders;</w:t>
      </w:r>
    </w:p>
    <w:p w:rsidR="003F3435" w:rsidRDefault="0032493E">
      <w:pPr>
        <w:spacing w:line="480" w:lineRule="auto"/>
        <w:ind w:firstLine="2160"/>
        <w:jc w:val="both"/>
      </w:pPr>
      <w:r>
        <w:t xml:space="preserve">(C)</w:t>
      </w:r>
      <w:r xml:space="preserve">
        <w:t> </w:t>
      </w:r>
      <w:r xml:space="preserve">
        <w:t> </w:t>
      </w:r>
      <w:r>
        <w:t xml:space="preserve">pretrial Class A and B misdemeanor offenders;</w:t>
      </w:r>
    </w:p>
    <w:p w:rsidR="003F3435" w:rsidRDefault="0032493E">
      <w:pPr>
        <w:spacing w:line="480" w:lineRule="auto"/>
        <w:ind w:firstLine="2160"/>
        <w:jc w:val="both"/>
      </w:pPr>
      <w:r>
        <w:t xml:space="preserve">(D)</w:t>
      </w:r>
      <w:r xml:space="preserve">
        <w:t> </w:t>
      </w:r>
      <w:r xml:space="preserve">
        <w:t> </w:t>
      </w:r>
      <w:r>
        <w:t xml:space="preserve">convicted misdemeanor offenders;</w:t>
      </w:r>
    </w:p>
    <w:p w:rsidR="003F3435" w:rsidRDefault="0032493E">
      <w:pPr>
        <w:spacing w:line="480" w:lineRule="auto"/>
        <w:ind w:firstLine="2160"/>
        <w:jc w:val="both"/>
      </w:pPr>
      <w:r>
        <w:t xml:space="preserve">(E)</w:t>
      </w:r>
      <w:r xml:space="preserve">
        <w:t> </w:t>
      </w:r>
      <w:r xml:space="preserve">
        <w:t> </w:t>
      </w:r>
      <w:r>
        <w:t xml:space="preserve">felony offenders whose penalty has been reduced to a misdemeanor;</w:t>
      </w:r>
    </w:p>
    <w:p w:rsidR="003F3435" w:rsidRDefault="0032493E">
      <w:pPr>
        <w:spacing w:line="480" w:lineRule="auto"/>
        <w:ind w:firstLine="2160"/>
        <w:jc w:val="both"/>
      </w:pPr>
      <w:r>
        <w:t xml:space="preserve">(F)</w:t>
      </w:r>
      <w:r xml:space="preserve">
        <w:t> </w:t>
      </w:r>
      <w:r xml:space="preserve">
        <w:t> </w:t>
      </w:r>
      <w:r>
        <w:t xml:space="preserve">pretrial felony offenders;</w:t>
      </w:r>
    </w:p>
    <w:p w:rsidR="003F3435" w:rsidRDefault="0032493E">
      <w:pPr>
        <w:spacing w:line="480" w:lineRule="auto"/>
        <w:ind w:firstLine="2160"/>
        <w:jc w:val="both"/>
      </w:pPr>
      <w:r>
        <w:t xml:space="preserve">(G)</w:t>
      </w:r>
      <w:r xml:space="preserve">
        <w:t> </w:t>
      </w:r>
      <w:r xml:space="preserve">
        <w:t> </w:t>
      </w:r>
      <w:r>
        <w:t xml:space="preserve">convicted felony offenders;</w:t>
      </w:r>
    </w:p>
    <w:p w:rsidR="003F3435" w:rsidRDefault="0032493E">
      <w:pPr>
        <w:spacing w:line="480" w:lineRule="auto"/>
        <w:ind w:firstLine="2160"/>
        <w:jc w:val="both"/>
      </w:pPr>
      <w:r>
        <w:t xml:space="preserve">(H)</w:t>
      </w:r>
      <w:r xml:space="preserve">
        <w:t> </w:t>
      </w:r>
      <w:r xml:space="preserve">
        <w:t> </w:t>
      </w:r>
      <w:r>
        <w:t xml:space="preserve">prisoners detained on bench warrants;</w:t>
      </w:r>
    </w:p>
    <w:p w:rsidR="003F3435" w:rsidRDefault="0032493E">
      <w:pPr>
        <w:spacing w:line="480" w:lineRule="auto"/>
        <w:ind w:firstLine="2160"/>
        <w:jc w:val="both"/>
      </w:pPr>
      <w:r>
        <w:t xml:space="preserve">(I)</w:t>
      </w:r>
      <w:r xml:space="preserve">
        <w:t> </w:t>
      </w:r>
      <w:r xml:space="preserve">
        <w:t> </w:t>
      </w:r>
      <w:r>
        <w:t xml:space="preserve">prisoners detained for parole violations;</w:t>
      </w:r>
    </w:p>
    <w:p w:rsidR="003F3435" w:rsidRDefault="0032493E">
      <w:pPr>
        <w:spacing w:line="480" w:lineRule="auto"/>
        <w:ind w:firstLine="2160"/>
        <w:jc w:val="both"/>
      </w:pPr>
      <w:r>
        <w:t xml:space="preserve">(J)</w:t>
      </w:r>
      <w:r xml:space="preserve">
        <w:t> </w:t>
      </w:r>
      <w:r xml:space="preserve">
        <w:t> </w:t>
      </w:r>
      <w:r>
        <w:t xml:space="preserve">prisoners detained for federal officers;</w:t>
      </w:r>
    </w:p>
    <w:p w:rsidR="003F3435" w:rsidRDefault="0032493E">
      <w:pPr>
        <w:spacing w:line="480" w:lineRule="auto"/>
        <w:ind w:firstLine="2160"/>
        <w:jc w:val="both"/>
      </w:pPr>
      <w:r>
        <w:t xml:space="preserve">(K)</w:t>
      </w:r>
      <w:r xml:space="preserve">
        <w:t> </w:t>
      </w:r>
      <w:r xml:space="preserve">
        <w:t> </w:t>
      </w:r>
      <w:r>
        <w:t xml:space="preserve">prisoners awaiting transfer to the institutional division of the Texas Department of Criminal Justice following conviction of a felony or revocation of probation, parole, or release on mandatory supervision and for whom paperwork and processing required for transfer have been completed;</w:t>
      </w:r>
    </w:p>
    <w:p w:rsidR="003F3435" w:rsidRDefault="0032493E">
      <w:pPr>
        <w:spacing w:line="480" w:lineRule="auto"/>
        <w:ind w:firstLine="2160"/>
        <w:jc w:val="both"/>
      </w:pPr>
      <w:r>
        <w:t xml:space="preserve">(L)</w:t>
      </w:r>
      <w:r xml:space="preserve">
        <w:t> </w:t>
      </w:r>
      <w:r xml:space="preserve">
        <w:t> </w:t>
      </w:r>
      <w:r>
        <w:t xml:space="preserve">prisoners detained after having been transferred from another jail and for whom the commission has made a payment under Subchapter F, Chapter 499, Government Code;</w:t>
      </w:r>
    </w:p>
    <w:p w:rsidR="003F3435" w:rsidRDefault="0032493E">
      <w:pPr>
        <w:spacing w:line="480" w:lineRule="auto"/>
        <w:ind w:firstLine="2160"/>
        <w:jc w:val="both"/>
      </w:pPr>
      <w:r>
        <w:t xml:space="preserve">(M)</w:t>
      </w:r>
      <w:r xml:space="preserve">
        <w:t> </w:t>
      </w:r>
      <w:r xml:space="preserve">
        <w:t> </w:t>
      </w:r>
      <w:r>
        <w:t xml:space="preserve">prisoners for whom an immigration detainer has been issued by United States Immigration and Customs Enforcement;</w:t>
      </w:r>
    </w:p>
    <w:p w:rsidR="003F3435" w:rsidRDefault="0032493E">
      <w:pPr>
        <w:spacing w:line="480" w:lineRule="auto"/>
        <w:ind w:firstLine="2160"/>
        <w:jc w:val="both"/>
      </w:pPr>
      <w:r>
        <w:t xml:space="preserve">(N)</w:t>
      </w:r>
      <w:r xml:space="preserve">
        <w:t> </w:t>
      </w:r>
      <w:r xml:space="preserve">
        <w:t> </w:t>
      </w:r>
      <w:r>
        <w:t xml:space="preserve">female prisoners; and</w:t>
      </w:r>
    </w:p>
    <w:p w:rsidR="003F3435" w:rsidRDefault="0032493E">
      <w:pPr>
        <w:spacing w:line="480" w:lineRule="auto"/>
        <w:ind w:firstLine="2160"/>
        <w:jc w:val="both"/>
      </w:pPr>
      <w:r>
        <w:t xml:space="preserve">(O)</w:t>
      </w:r>
      <w:r xml:space="preserve">
        <w:t> </w:t>
      </w:r>
      <w:r xml:space="preserve">
        <w:t> </w:t>
      </w:r>
      <w:r>
        <w:t xml:space="preserve">other prisoners;</w:t>
      </w:r>
    </w:p>
    <w:p w:rsidR="003F3435" w:rsidRDefault="0032493E">
      <w:pPr>
        <w:spacing w:line="480" w:lineRule="auto"/>
        <w:ind w:firstLine="1440"/>
        <w:jc w:val="both"/>
      </w:pPr>
      <w:r>
        <w:t xml:space="preserve">(2)</w:t>
      </w:r>
      <w:r xml:space="preserve">
        <w:t> </w:t>
      </w:r>
      <w:r xml:space="preserve">
        <w:t> </w:t>
      </w:r>
      <w:r>
        <w:t xml:space="preserve">the total capacity of the county jail on the first day of the month;</w:t>
      </w:r>
    </w:p>
    <w:p w:rsidR="003F3435" w:rsidRDefault="0032493E">
      <w:pPr>
        <w:spacing w:line="480" w:lineRule="auto"/>
        <w:ind w:firstLine="1440"/>
        <w:jc w:val="both"/>
      </w:pPr>
      <w:r>
        <w:t xml:space="preserve">(3)</w:t>
      </w:r>
      <w:r xml:space="preserve">
        <w:t> </w:t>
      </w:r>
      <w:r xml:space="preserve">
        <w:t> </w:t>
      </w:r>
      <w:r>
        <w:t xml:space="preserve">the total number of prisoners who were confined in the county jail during the preceding month, based on a count conducted on each day of that month, who were known or had been determined to be pregnant;</w:t>
      </w:r>
    </w:p>
    <w:p w:rsidR="003F3435" w:rsidRDefault="0032493E">
      <w:pPr>
        <w:spacing w:line="480" w:lineRule="auto"/>
        <w:ind w:firstLine="1440"/>
        <w:jc w:val="both"/>
      </w:pPr>
      <w:r>
        <w:t xml:space="preserve">(4)</w:t>
      </w:r>
      <w:r xml:space="preserve">
        <w:t> </w:t>
      </w:r>
      <w:r xml:space="preserve">
        <w:t> </w:t>
      </w:r>
      <w:r>
        <w:t xml:space="preserve">the total cost to the county during the preceding month of housing prisoners described by Subdivision (1)(M), calculated based on the average daily cost of housing a prisoner in the county jail;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the following information concerning prisoners in the county jail that the sheriff has reasonable cause to believe are persons with mental illness or persons with an intellectual disability: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mental health or intellectual and developmental disability screenings completed in the jail;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notifications that a sheriff or municipal jailer provided to a magistrate, as required by Article 16.22(a)(1),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number of mental health or intellectual and developmental disability interviews, as required by Article 16.22(a)(1), Code of Criminal Procedure;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location of the interviews described by Paragraph (C);</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the interviews described by Paragraph (C) were conducted in person in the jail, by telephone, through a telemedicine medical service or telehealth service, or through any other method;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outcomes of the interviews described by Paragraph (C); and</w:t>
      </w:r>
    </w:p>
    <w:p w:rsidR="003F3435" w:rsidRDefault="0032493E">
      <w:pPr>
        <w:spacing w:line="480" w:lineRule="auto"/>
        <w:ind w:firstLine="1440"/>
        <w:jc w:val="both"/>
      </w:pPr>
      <w:r>
        <w:rPr>
          <w:u w:val="single"/>
        </w:rPr>
        <w:t xml:space="preserve">(6)</w:t>
      </w:r>
      <w:r xml:space="preserve">
        <w:t> </w:t>
      </w:r>
      <w:r xml:space="preserve">
        <w:t> </w:t>
      </w:r>
      <w:r>
        <w:t xml:space="preserve">certification by the reporting official that the information in the report is accurate.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1701.164, Occupations Code, is amended to read as follows:</w:t>
      </w:r>
    </w:p>
    <w:p w:rsidR="003F3435" w:rsidRDefault="0032493E">
      <w:pPr>
        <w:spacing w:line="480" w:lineRule="auto"/>
        <w:ind w:firstLine="720"/>
        <w:jc w:val="both"/>
      </w:pPr>
      <w:r>
        <w:t xml:space="preserve">Sec.</w:t>
      </w:r>
      <w:r xml:space="preserve">
        <w:t> </w:t>
      </w:r>
      <w:r>
        <w:t xml:space="preserve">1701.164.</w:t>
      </w:r>
      <w:r xml:space="preserve">
        <w:t> </w:t>
      </w:r>
      <w:r xml:space="preserve">
        <w:t> </w:t>
      </w:r>
      <w:r>
        <w:t xml:space="preserve">COLLECTION OF CERTAIN INCIDENT-BASED DATA SUBMITTED BY LAW ENFORCEMENT AGENCIES. </w:t>
      </w:r>
      <w:r>
        <w:t xml:space="preserve"> </w:t>
      </w:r>
      <w:r>
        <w:t xml:space="preserve">The commission shall collect and maintain incident-based data submitted to the commission under Article 2.134, Code of Criminal Procedure, including incident-based data compiled by a law enforcement agency from reports received by the law enforcement agency under </w:t>
      </w:r>
      <w:r>
        <w:rPr>
          <w:u w:val="single"/>
        </w:rPr>
        <w:t xml:space="preserve">Articles</w:t>
      </w:r>
      <w:r>
        <w:t xml:space="preserve"> </w:t>
      </w:r>
      <w:r>
        <w:t xml:space="preserve">[</w:t>
      </w:r>
      <w:r>
        <w:rPr>
          <w:strike/>
        </w:rPr>
        <w:t xml:space="preserve">Article</w:t>
      </w:r>
      <w:r>
        <w:t xml:space="preserve">] 2.133 </w:t>
      </w:r>
      <w:r>
        <w:rPr>
          <w:u w:val="single"/>
        </w:rPr>
        <w:t xml:space="preserve">and 2.135</w:t>
      </w:r>
      <w:r>
        <w:t xml:space="preserve"> of that code. The commission in consultation with the Department of Public Safety, the Bill Blackwood Law Enforcement Management Institute of Texas, the W. W. Caruth, Jr., Police Institute at Dallas, and the Texas Police Chiefs Association shall develop guidelines for submitting in a standard format the report containing incident-based data as required by Article 2.134, Code of Criminal Procedure.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county shall submit the first report required by Section 511.0101, Government Code, as amended by this Act, not later than October 5,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