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88R4251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Smithee</w:t>
      </w:r>
      <w:r xml:space="preserve">
        <w:tab wTab="150" tlc="none" cTlc="0"/>
      </w:r>
      <w:r>
        <w:t xml:space="preserve">H.B.</w:t>
      </w:r>
      <w:r xml:space="preserve">
        <w:t> </w:t>
      </w:r>
      <w:r>
        <w:t xml:space="preserve">No.</w:t>
      </w:r>
      <w:r xml:space="preserve">
        <w:t> </w:t>
      </w:r>
      <w:r>
        <w:t xml:space="preserve">1754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disclosure of certain prescription drug information by a health benefit plan.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1369, Insurance Code, is amended by adding Subchapter B-2 to read as follows:</w:t>
      </w:r>
    </w:p>
    <w:p w:rsidR="003F3435" w:rsidRDefault="0032493E">
      <w:pPr>
        <w:spacing w:line="480" w:lineRule="auto"/>
        <w:jc w:val="center"/>
      </w:pPr>
      <w:r>
        <w:rPr>
          <w:u w:val="single"/>
        </w:rPr>
        <w:t xml:space="preserve">SUBCHAPTER B-2. DISCLOSURE OF CERTAIN PRESCRIPTION DRUG INFORMATION SPECIFIED BY DRUG FORMULARY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1369.091.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"Cost-sharing information" means the actual out-of-pocket amount an enrollee is required to pay a dispensing pharmacy or prescribing provider for a prescription drug under the enrollee's health benefit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"Drug formulary," "enrollee," and "prescription drug" have the meanings assigned by Section 1369.051.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"Standard API" means an application interface that is standardized for vendors to conform to in order to access information under 45 C.F.R. Section 170.215.</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1369.092.</w:t>
      </w:r>
      <w:r>
        <w:rPr>
          <w:u w:val="single"/>
        </w:rPr>
        <w:t xml:space="preserve"> </w:t>
      </w:r>
      <w:r>
        <w:rPr>
          <w:u w:val="single"/>
        </w:rPr>
        <w:t xml:space="preserve"> </w:t>
      </w:r>
      <w:r>
        <w:rPr>
          <w:u w:val="single"/>
        </w:rPr>
        <w:t xml:space="preserve">APPLICABILITY OF SUBCHAPTER.  (a) </w:t>
      </w:r>
      <w:r>
        <w:rPr>
          <w:u w:val="single"/>
        </w:rPr>
        <w:t xml:space="preserve"> </w:t>
      </w:r>
      <w:r>
        <w:rPr>
          <w:u w:val="single"/>
        </w:rPr>
        <w:t xml:space="preserve">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nonprofit agricultural organization health benefits offered by a nonprofit agricultural organization under Chapter 1682;</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alternative health benefit coverage offered by a subsidiary of the Texas Mutual Insurance Company under Subchapter M, Chapter 2054;</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health benefits provided by or through a church benefits board under Subchapter I, Chapter 22, Business Organizations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regional or local health care program operated under Section 75.104, Health and Safety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county employee group health benefits provided under Chapter 157, Local Government Code;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health and accident coverage provided by a risk pool created under Chapter 172, Local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1369.093.</w:t>
      </w:r>
      <w:r>
        <w:rPr>
          <w:u w:val="single"/>
        </w:rPr>
        <w:t xml:space="preserve"> </w:t>
      </w:r>
      <w:r>
        <w:rPr>
          <w:u w:val="single"/>
        </w:rPr>
        <w:t xml:space="preserve"> </w:t>
      </w:r>
      <w:r>
        <w:rPr>
          <w:u w:val="single"/>
        </w:rPr>
        <w:t xml:space="preserve">EXCEPTIONS TO APPLICABILITY OF SUBCHAPTER.  This subchapter does not apply to an issuer or provider of health benefits under or a pharmacy benefit manager administering pharmacy benefits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TRICARE military health system;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workers' compensation insurance policy or other form of providing medical benefits under Title 5, Labor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1369.094.</w:t>
      </w:r>
      <w:r>
        <w:rPr>
          <w:u w:val="single"/>
        </w:rPr>
        <w:t xml:space="preserve"> </w:t>
      </w:r>
      <w:r>
        <w:rPr>
          <w:u w:val="single"/>
        </w:rPr>
        <w:t xml:space="preserve"> </w:t>
      </w:r>
      <w:r>
        <w:rPr>
          <w:u w:val="single"/>
        </w:rPr>
        <w:t xml:space="preserve">DISCLOSURE OF PRESCRIPTION DRUG INFORMATION.  (a) </w:t>
      </w:r>
      <w:r>
        <w:rPr>
          <w:u w:val="single"/>
        </w:rPr>
        <w:t xml:space="preserve"> </w:t>
      </w:r>
      <w:r>
        <w:rPr>
          <w:u w:val="single"/>
        </w:rPr>
        <w:t xml:space="preserve">A health benefit plan issuer that covers prescription drugs and uses one or more drug formularies to specify the prescription drugs covered under the plan shall provide information regarding a prescription drug to an enrollee or the enrollee's prescribing provider on request. The information provided must include the issuer's drug formulary and, for the prescription drug and any formulary alternative: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enrollee's eligibility;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cost-sharing information, including any deductible, copayment, or coinsurance, which 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consistent with cost-sharing requirements under the enrollee's plan;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 accurate at the time the cost-sharing information is provided;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include any variance in cost-sharing based on the patient's preferred dispensing retail or mail-order pharmacy or the prescribing provider;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applicable utilization management requirements.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providing the information required under Subsection (a), a health benefit plan issuer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respond in real time to a request made through a standard API;</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the use of an integrated technology or service as necessary to provide the required information;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 that the information provided is current no later than one business day after the date a change is made;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the information if the request is made using the drug's unique billing code and National Drug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benefit plan issuer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deny or delay a response to a request for information under Subsection (a) for the purpose of blocking the release of the information;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restrict a prescribing provider from communicating to the enrollee the information provided under Subsection (a), information about the cash price of the drug, or any additional information on any lower cost or clinically appropriate alternative drug, whether or not the drug is covered under the enrollee's plan;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as required by law, interfere with, prevent, or materially discourage access to or the exchange or use of the information provided under Subsection (a), including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charging a fee to access the information;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responding to a request within the time required by this section;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instituting a consent requirement for an enrollee to access the information;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penalize, including by taking any action intended to punish or discourage future similar behavior by the prescribing provider, a prescribing provider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disclosing the information provided under Subsection (a);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prescribing, administering, or ordering a lower cost or clinically appropriate alternative drug.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health benefit plan delivered, issued for delivery, or renewed on or after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