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1759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ticket sales for charitable raffles conducted by the charitable foundations of certain professional sports teams.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2004.004, Occupations Code, is amended by adding Subsections (a-1), (a-2), and (a-3)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Raffle tickets for a charitable raffle conducted under Subsection (a) may be sold: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home venue of the professional sports team associated with the foundation conducting the raffle; or </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digital interactive media, including an Internet website of or mobile application provided by the professional sports team associated with the foundation conducting the raffle.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Raffle tickets for a charitable raffle conducted under Subsection (a) may be sold only during the period beginning when the venue opens to attendees of the game or rodeo event and ending when the draw to determine the prize winners for the raffle concludes.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Raffle tickets sold under Subsection (a-1)(2) may only be sold to individuals physically located in this state at the time of the sale.</w:t>
      </w:r>
    </w:p>
    <w:p w:rsidR="003F3435" w:rsidRDefault="0032493E">
      <w:pPr>
        <w:spacing w:line="480" w:lineRule="auto"/>
        <w:ind w:firstLine="720"/>
        <w:jc w:val="both"/>
      </w:pPr>
      <w:r>
        <w:t xml:space="preserve">(d)</w:t>
      </w:r>
      <w:r xml:space="preserve">
        <w:t> </w:t>
      </w:r>
      <w:r xml:space="preserve">
        <w:t> </w:t>
      </w:r>
      <w:r>
        <w:t xml:space="preserve">Only persons 18 years of age or older may purchase raffle tickets in a charitable raffle conducted under this chapter. </w:t>
      </w:r>
      <w:r>
        <w:t xml:space="preserve"> </w:t>
      </w:r>
      <w:r>
        <w:rPr>
          <w:u w:val="single"/>
        </w:rPr>
        <w:t xml:space="preserve">A professional sports team charitable foundation that conducts a charitable raffle under Subsection (a) shall contract with a third-party vendor to ensure only persons 18 years of age or older purchase tickets for the raffle.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