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88R6216 BEE-F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Bucy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1759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ticket sales for charitable raffles conducted by the charitable foundations of certain professional sports teams.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2004.004, Occupations Code, is amended by adding Subsections (a-1) and (a-2)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Raffle tickets for a charitable raffle conducted under Subsection (a) may be sold: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at the home venue of the professional sports team associated with the foundation conducting the raffle; or 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through digital interactive media, including an Internet website of or mobile application provided by the professional sports team associated with the foundation conducting the raffle.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Raffle tickets sold under Subsection (a-1)(2) may only be sold to individuals physically located in this state at the time of the sale.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1759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