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w:t xml:space="preserve"> (Senate Sponsor</w:t>
      </w:r>
      <w:r xml:space="preserve">
        <w:t> </w:t>
      </w:r>
      <w:r>
        <w:t xml:space="preserve">-</w:t>
      </w:r>
      <w:r xml:space="preserve">
        <w:t> </w:t>
      </w:r>
      <w:r>
        <w:t xml:space="preserve">Alvarado)</w:t>
      </w:r>
      <w:r xml:space="preserve">
        <w:tab wTab="150" tlc="none" cTlc="0"/>
      </w:r>
      <w:r>
        <w:t xml:space="preserve">H.B.</w:t>
      </w:r>
      <w:r xml:space="preserve">
        <w:t> </w:t>
      </w:r>
      <w:r>
        <w:t xml:space="preserve">No.</w:t>
      </w:r>
      <w:r xml:space="preserve">
        <w:t> </w:t>
      </w:r>
      <w:r>
        <w:t xml:space="preserve">1759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1,</w:t>
      </w:r>
      <w:r xml:space="preserve">
        <w:t> </w:t>
      </w:r>
      <w:r>
        <w:t xml:space="preserve">2023, read first time and referred to Committee on State Affairs; May</w:t>
      </w:r>
      <w:r xml:space="preserve">
        <w:t> </w:t>
      </w:r>
      <w:r>
        <w:t xml:space="preserve">19,</w:t>
      </w:r>
      <w:r xml:space="preserve">
        <w:t> </w:t>
      </w:r>
      <w:r>
        <w:t xml:space="preserve">2023, reported adversely, with favorable Committee Substitute by the following vote:</w:t>
      </w:r>
      <w:r>
        <w:t xml:space="preserve"> </w:t>
      </w:r>
      <w:r>
        <w:t xml:space="preserve"> </w:t>
      </w:r>
      <w:r>
        <w:t xml:space="preserve">Yeas 7, Nays 3;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1759</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ticket sales for charitable raffles conducted by the charitable foundations of certain professional sports teams.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2004.004, Occupations Code, is amended by adding Subsections (a-1), (a-2), and (a-3) and amending Subsection (d)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Raffle tickets for a charitable raffle conducted under Subsection (a) may be sold: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the home venue or rodeo venue of the professional sports team associated with the foundation conducting the raffle;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through digital interactive media, including an Internet website of or mobile application provided by the professional sports team associated with the foundation conducting the raffle.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Raffle tickets for a charitable raffle conducted under Subsection (a) may be sold only during the period beginning when the venue opens to attendees of the game or rodeo venue opens to attendees of the rodeo event and ending when the draw to determine the prize winners for the raffle concludes.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Raffle tickets sold under Subsection (a-1)(2) may only be sold to individuals who at the time of the sale are physically located: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further than one mile from the home venue or rodeo venue of the professional sports team associated with the foundation conducting the raffle.</w:t>
      </w:r>
    </w:p>
    <w:p w:rsidR="003F3435" w:rsidRDefault="0032493E">
      <w:pPr>
        <w:spacing w:line="480" w:lineRule="auto"/>
        <w:ind w:firstLine="720"/>
        <w:jc w:val="both"/>
      </w:pPr>
      <w:r>
        <w:t xml:space="preserve">(d)</w:t>
      </w:r>
      <w:r xml:space="preserve">
        <w:t> </w:t>
      </w:r>
      <w:r xml:space="preserve">
        <w:t> </w:t>
      </w:r>
      <w:r>
        <w:t xml:space="preserve">Only persons 18 years of age or older may purchase raffle tickets in a charitable raffle conducted under this chapter. </w:t>
      </w:r>
      <w:r>
        <w:t xml:space="preserve"> </w:t>
      </w:r>
      <w:r>
        <w:rPr>
          <w:u w:val="single"/>
        </w:rPr>
        <w:t xml:space="preserve">A professional sports team charitable foundation that conducts a charitable raffle under Subsection (a) shall contract with a third-party vendor to ensure only persons 18 years of age or older purchase tickets for the raffle.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1759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