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88R6338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1765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redaction of certain information from a document posted on the Internet by a county clerk or district clerk on request of a person to whom the information relates.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552.117,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all</w:t>
      </w:r>
      <w:r>
        <w:t xml:space="preserve"> [</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county clerk or district clerk shall on request of a person to whom this section applies redact information described by Subsection (a) from a document posted by the clerk on an Internet website that relates to the person making the request if the clerk has the ability to electronically redact the information from the posted document.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552.1175,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rPr>
          <w:u w:val="single"/>
        </w:rPr>
        <w:t xml:space="preserve">Except as provided by Subsection (e-1), all</w:t>
      </w:r>
      <w:r>
        <w:t xml:space="preserve"> [</w:t>
      </w:r>
      <w:r>
        <w:rPr>
          <w:strike/>
        </w:rPr>
        <w:t xml:space="preserve">All</w:t>
      </w:r>
      <w:r>
        <w:t xml:space="preserve">] documents filed with a county clerk and all documents filed with a district clerk are exempt from this section.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county clerk or district clerk shall on request of a person to whom this section applies redact information described by Subsection (b) from a document posted by the clerk on an Internet website that relates to the person making the request if the clerk has the ability to electronically redact the information from the posted document.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