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88R4549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Garcia</w:t>
      </w:r>
      <w:r xml:space="preserve">
        <w:tab wTab="150" tlc="none" cTlc="0"/>
      </w:r>
      <w:r>
        <w:t xml:space="preserve">H.B.</w:t>
      </w:r>
      <w:r xml:space="preserve">
        <w:t> </w:t>
      </w:r>
      <w:r>
        <w:t xml:space="preserve">No.</w:t>
      </w:r>
      <w:r xml:space="preserve">
        <w:t> </w:t>
      </w:r>
      <w:r>
        <w:t xml:space="preserve">1774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plan by the Texas Juvenile Justice Department to modernize juvenile detention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PLAN FOR MODERNIZATION OF JUVENILE DETENTION FACILITIES.  (a) </w:t>
      </w:r>
      <w:r>
        <w:t xml:space="preserve"> </w:t>
      </w:r>
      <w:r>
        <w:t xml:space="preserve">The Texas Juvenile Justice Department shall develop and adopt a plan to modernize post-adjudication secure correctional facilities.</w:t>
      </w:r>
    </w:p>
    <w:p w:rsidR="003F3435" w:rsidRDefault="0032493E">
      <w:pPr>
        <w:spacing w:line="480" w:lineRule="auto"/>
        <w:ind w:firstLine="720"/>
        <w:jc w:val="both"/>
      </w:pPr>
      <w:r>
        <w:t xml:space="preserve">(b)</w:t>
      </w:r>
      <w:r xml:space="preserve">
        <w:t> </w:t>
      </w:r>
      <w:r xml:space="preserve">
        <w:t> </w:t>
      </w:r>
      <w:r>
        <w:t xml:space="preserve">The plan must include equipping the living quarters of each child committed to the department with a restroom and running water.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SUBMISSION TO LEGISLATURE.  Not later than June 1, 2024, the Texas Juvenile Justice Department shall submit to the legislature the plan developed under this Act and the estimated cost of implementation of the plan.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EXPIRATION.  This Act expires September 1, 2024.</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EFFECTIVE DATE.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1774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