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88R7235 SHH-F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1779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attempted acquisition of a firearm by a person prohibited from possessing a firearm.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46.06, Penal Code, is amended by adding Subsection (e)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firearms dealer licensed under 18 U.S.C. Section 923 who declines to transfer a firearm to a prospective transferee in this state because the National Instant Criminal Background Check System indicates that the prospective transferee is prohibited from possessing a firearm shall notify the Department of Public Safety.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411, Government Code, is amended by adding Section 411.0525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411.0525.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INVESTIGATION OF LICENSED FIREARMS DEALER NOTIFICATION.  (a)  If the department receives a notification under Section 46.06(e), Penal Code, from a firearms dealer licensed under 18 U.S.C. Section 923, the department shall initiate an investigation.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department's investigation under this section produces evidence that a person may have violated Section 46.06, Penal Code, the department shall refer the case to the appropriate local authorities for further investigation and possible prosecution.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As soon as practicable after the effective date of this Act, the Department of Public Safety of the State of Texas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obtain from the Bureau of Alcohol, Tobacco, Firearms and Explosives a list of firearms dealers in this state licensed under 18 U.S.C. Section 923;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notify each dealer of the reporting requirements established by Section 46.06(e), Penal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1779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