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88R3217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1783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a program for the issuance of digital identification.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7, Transportation Code, is amended by adding Chapter 526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526.  DIGITAL IDENTIFICATION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526.0101.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"Department" and "driver's license" have the meanings assigned by Section 521.001.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identification" includes digital driver's licenses and digital personal identification certificates.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526.0102.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IDENTIFICATION PROGRAM.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by rule shall establish a program for the issuance of digital identification.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establishing the digital identification program,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existing department infrastructure and upgrade department infrastructure according to the department's findings;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acquire a mobile application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displays digital identification that includes the information described by Section 521.121(a) on a wireless communication device;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includes an authentication and verification process for a wireless communication device;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used in any location regardless of the location's level of wireless connectivity or cellular telephone service;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deploy the digital identification mobile application;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law enforcement version of the application.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contract with a third party to establish the program described by this section if the contract is at no cost to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Department of Public Safety shall adopt the rules for the digital identification program under Chapter 526, Transportation Code, as added by this Act, not later than February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1783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